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9"/>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14:paraId="5F000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6B250CB6">
            <w:pPr>
              <w:pStyle w:val="20"/>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p>
        </w:tc>
        <w:tc>
          <w:tcPr>
            <w:tcW w:w="8855" w:type="dxa"/>
          </w:tcPr>
          <w:p w14:paraId="07659489">
            <w:pPr>
              <w:pStyle w:val="20"/>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11.020</w:t>
            </w:r>
            <w:r>
              <w:rPr>
                <w:rFonts w:ascii="黑体" w:hAnsi="黑体" w:eastAsia="黑体"/>
                <w:sz w:val="21"/>
                <w:szCs w:val="21"/>
              </w:rPr>
              <w:fldChar w:fldCharType="end"/>
            </w:r>
            <w:bookmarkEnd w:id="0"/>
          </w:p>
        </w:tc>
      </w:tr>
      <w:tr w14:paraId="76B8A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200C4D3F">
            <w:pPr>
              <w:pStyle w:val="20"/>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CCS</w:t>
            </w:r>
          </w:p>
        </w:tc>
        <w:tc>
          <w:tcPr>
            <w:tcW w:w="8855" w:type="dxa"/>
          </w:tcPr>
          <w:tbl>
            <w:tblPr>
              <w:tblStyle w:val="29"/>
              <w:tblpPr w:vertAnchor="page" w:horzAnchor="margin" w:tblpX="1" w:tblpY="341"/>
              <w:tblOverlap w:val="never"/>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9242"/>
            </w:tblGrid>
            <w:tr w14:paraId="718E55F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113" w:type="dxa"/>
                </w:tblCellMar>
              </w:tblPrEx>
              <w:trPr>
                <w:trHeight w:val="1021" w:hRule="exact"/>
              </w:trPr>
              <w:tc>
                <w:tcPr>
                  <w:tcW w:w="9242" w:type="dxa"/>
                  <w:vAlign w:val="center"/>
                </w:tcPr>
                <w:p w14:paraId="12FC3BC9">
                  <w:pPr>
                    <w:pStyle w:val="51"/>
                    <w:framePr w:wrap="notBeside" w:vAnchor="page" w:hAnchor="page" w:x="1372" w:y="568"/>
                    <w:ind w:left="420" w:right="624"/>
                    <w:rPr>
                      <w:rFonts w:ascii="宋体" w:hAnsi="宋体"/>
                      <w:sz w:val="28"/>
                      <w:szCs w:val="28"/>
                    </w:rPr>
                  </w:pPr>
                  <w:r>
                    <w:drawing>
                      <wp:inline distT="0" distB="0" distL="0" distR="0">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14720" cy="430560"/>
                                </a:xfrm>
                                <a:prstGeom prst="rect">
                                  <a:avLst/>
                                </a:prstGeom>
                                <a:noFill/>
                                <a:ln>
                                  <a:noFill/>
                                </a:ln>
                              </pic:spPr>
                            </pic:pic>
                          </a:graphicData>
                        </a:graphic>
                      </wp:inline>
                    </w:drawing>
                  </w:r>
                  <w:r>
                    <w:drawing>
                      <wp:inline distT="0" distB="0" distL="0" distR="0">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04571" cy="522509"/>
                                </a:xfrm>
                                <a:prstGeom prst="rect">
                                  <a:avLst/>
                                </a:prstGeom>
                                <a:noFill/>
                                <a:ln>
                                  <a:noFill/>
                                </a:ln>
                              </pic:spPr>
                            </pic:pic>
                          </a:graphicData>
                        </a:graphic>
                      </wp:inline>
                    </w:drawing>
                  </w:r>
                  <w:r>
                    <w:fldChar w:fldCharType="begin">
                      <w:ffData>
                        <w:name w:val="c1"/>
                        <w:enabled/>
                        <w:calcOnExit w:val="0"/>
                        <w:textInput>
                          <w:maxLength w:val="7"/>
                        </w:textInput>
                      </w:ffData>
                    </w:fldChar>
                  </w:r>
                  <w:bookmarkStart w:id="1" w:name="c1"/>
                  <w:r>
                    <w:instrText xml:space="preserve"> FORMTEXT </w:instrText>
                  </w:r>
                  <w:r>
                    <w:fldChar w:fldCharType="separate"/>
                  </w:r>
                  <w:r>
                    <w:t>HAICWM</w:t>
                  </w:r>
                  <w:r>
                    <w:fldChar w:fldCharType="end"/>
                  </w:r>
                  <w:bookmarkEnd w:id="1"/>
                </w:p>
              </w:tc>
            </w:tr>
          </w:tbl>
          <w:p w14:paraId="7C843380">
            <w:pPr>
              <w:pStyle w:val="20"/>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2"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C05</w:t>
            </w:r>
            <w:r>
              <w:rPr>
                <w:rFonts w:ascii="黑体" w:hAnsi="黑体" w:eastAsia="黑体"/>
                <w:sz w:val="21"/>
                <w:szCs w:val="21"/>
              </w:rPr>
              <w:fldChar w:fldCharType="end"/>
            </w:r>
            <w:bookmarkEnd w:id="2"/>
          </w:p>
        </w:tc>
      </w:tr>
    </w:tbl>
    <w:p w14:paraId="25312262">
      <w:pPr>
        <w:pStyle w:val="52"/>
        <w:framePr w:w="9639" w:h="624" w:hRule="exact" w:hSpace="181" w:vSpace="181" w:wrap="around" w:hAnchor="page" w:x="1305" w:y="2269"/>
        <w:rPr>
          <w:rFonts w:ascii="黑体" w:hAnsi="黑体" w:eastAsia="黑体"/>
          <w:b w:val="0"/>
          <w:bCs w:val="0"/>
          <w:w w:val="100"/>
          <w:sz w:val="48"/>
          <w:szCs w:val="48"/>
        </w:rPr>
      </w:pPr>
      <w:bookmarkStart w:id="3" w:name="_Hlk26473981"/>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湖南省中医药和中西医结合学会</w:t>
      </w:r>
      <w:r>
        <w:rPr>
          <w:rFonts w:ascii="黑体" w:eastAsia="黑体"/>
          <w:b w:val="0"/>
          <w:w w:val="100"/>
          <w:sz w:val="48"/>
        </w:rPr>
        <w:fldChar w:fldCharType="end"/>
      </w:r>
      <w:bookmarkEnd w:id="4"/>
      <w:r>
        <w:rPr>
          <w:rFonts w:hint="eastAsia" w:ascii="黑体" w:eastAsia="黑体"/>
          <w:b w:val="0"/>
          <w:w w:val="100"/>
          <w:sz w:val="48"/>
        </w:rPr>
        <w:t>团体</w:t>
      </w:r>
      <w:r>
        <w:rPr>
          <w:rFonts w:hint="eastAsia" w:ascii="黑体" w:hAnsi="黑体" w:eastAsia="黑体"/>
          <w:b w:val="0"/>
          <w:bCs w:val="0"/>
          <w:w w:val="100"/>
          <w:sz w:val="48"/>
          <w:szCs w:val="48"/>
        </w:rPr>
        <w:t>标准</w:t>
      </w:r>
    </w:p>
    <w:bookmarkEnd w:id="3"/>
    <w:p w14:paraId="6900D5F4">
      <w:pPr>
        <w:pStyle w:val="197"/>
      </w:pPr>
      <w:r>
        <w:t>T/</w:t>
      </w:r>
      <w:r>
        <w:fldChar w:fldCharType="begin">
          <w:ffData>
            <w:name w:val="文字1"/>
            <w:enabled/>
            <w:calcOnExit w:val="0"/>
            <w:textInput>
              <w:default w:val="XXX"/>
            </w:textInput>
          </w:ffData>
        </w:fldChar>
      </w:r>
      <w:bookmarkStart w:id="5" w:name="文字1"/>
      <w:r>
        <w:instrText xml:space="preserve"> FORMTEXT </w:instrText>
      </w:r>
      <w:r>
        <w:fldChar w:fldCharType="separate"/>
      </w:r>
      <w:r>
        <w:t>HAICWM</w:t>
      </w:r>
      <w:r>
        <w:fldChar w:fldCharType="end"/>
      </w:r>
      <w:bookmarkEnd w:id="5"/>
      <w:r>
        <w:fldChar w:fldCharType="begin">
          <w:ffData>
            <w:name w:val="NSTD_CODE_F"/>
            <w:enabled/>
            <w:calcOnExit w:val="0"/>
            <w:textInput>
              <w:default w:val="XXXX"/>
            </w:textInput>
          </w:ffData>
        </w:fldChar>
      </w:r>
      <w:bookmarkStart w:id="6" w:name="NSTD_CODE_F"/>
      <w:r>
        <w:instrText xml:space="preserve"> FORMTEXT </w:instrText>
      </w:r>
      <w:r>
        <w:fldChar w:fldCharType="separate"/>
      </w:r>
      <w:r>
        <w:t>XXXX</w:t>
      </w:r>
      <w:r>
        <w:fldChar w:fldCharType="end"/>
      </w:r>
      <w:bookmarkEnd w:id="6"/>
      <w:r>
        <w:rPr>
          <w:rFonts w:hAnsi="黑体"/>
        </w:rPr>
        <w:t>—</w:t>
      </w:r>
      <w:r>
        <w:fldChar w:fldCharType="begin">
          <w:ffData>
            <w:name w:val="NSTD_CODE_B"/>
            <w:enabled/>
            <w:calcOnExit w:val="0"/>
            <w:textInput>
              <w:default w:val="XXXX"/>
            </w:textInput>
          </w:ffData>
        </w:fldChar>
      </w:r>
      <w:bookmarkStart w:id="7" w:name="NSTD_CODE_B"/>
      <w:r>
        <w:instrText xml:space="preserve"> FORMTEXT </w:instrText>
      </w:r>
      <w:r>
        <w:fldChar w:fldCharType="separate"/>
      </w:r>
      <w:r>
        <w:rPr>
          <w:rFonts w:hint="eastAsia"/>
        </w:rPr>
        <w:t>2026</w:t>
      </w:r>
      <w:r>
        <w:fldChar w:fldCharType="end"/>
      </w:r>
      <w:bookmarkEnd w:id="7"/>
    </w:p>
    <w:p w14:paraId="601CCF00">
      <w:pPr>
        <w:pStyle w:val="198"/>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4C3E1947">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2700020</wp:posOffset>
                </wp:positionV>
                <wp:extent cx="6120130" cy="0"/>
                <wp:effectExtent l="0" t="0" r="1270" b="0"/>
                <wp:wrapNone/>
                <wp:docPr id="1742928886" name="直线连接符 3"/>
                <wp:cNvGraphicFramePr/>
                <a:graphic xmlns:a="http://schemas.openxmlformats.org/drawingml/2006/main">
                  <a:graphicData uri="http://schemas.microsoft.com/office/word/2010/wordprocessingShape">
                    <wps:wsp>
                      <wps:cNvCnPr/>
                      <wps:spPr bwMode="auto">
                        <a:xfrm>
                          <a:off x="0" y="0"/>
                          <a:ext cx="6120130" cy="0"/>
                        </a:xfrm>
                        <a:prstGeom prst="line">
                          <a:avLst/>
                        </a:prstGeom>
                        <a:noFill/>
                        <a:ln w="9525">
                          <a:solidFill>
                            <a:srgbClr val="000000"/>
                          </a:solidFill>
                          <a:round/>
                        </a:ln>
                      </wps:spPr>
                      <wps:bodyPr/>
                    </wps:wsp>
                  </a:graphicData>
                </a:graphic>
              </wp:anchor>
            </w:drawing>
          </mc:Choice>
          <mc:Fallback>
            <w:pict>
              <v:line id="直线连接符 3" o:spid="_x0000_s1026" o:spt="20" style="position:absolute;left:0pt;margin-left:70.9pt;margin-top:212.6pt;height:0pt;width:481.9pt;mso-position-horizontal-relative:page;mso-position-vertical-relative:page;z-index:251659264;mso-width-relative:page;mso-height-relative:page;" filled="f" stroked="t" coordsize="21600,21600" o:allowoverlap="f" o:gfxdata="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nf4jzNgAAAAMAQAADwAAAAAAAAABACAA&#10;AAAiAAAAZHJzL2Rvd25yZXYueG1sUEsBAhQAFAAAAAgAh07iQHc9Il3UAQAAgQMAAA4AAAAAAAAA&#10;AQAgAAAAJwEAAGRycy9lMm9Eb2MueG1sUEsFBgAAAAAGAAYAWQEAAG0FAAAAAA==&#10;">
                <v:fill on="f" focussize="0,0"/>
                <v:stroke color="#000000" joinstyle="round"/>
                <v:imagedata o:title=""/>
                <o:lock v:ext="edit" aspectratio="f"/>
              </v:line>
            </w:pict>
          </mc:Fallback>
        </mc:AlternateContent>
      </w:r>
    </w:p>
    <w:p w14:paraId="055C9050">
      <w:pPr>
        <w:pStyle w:val="52"/>
        <w:framePr w:w="9639" w:h="6976" w:hRule="exact" w:hSpace="0" w:vSpace="0" w:wrap="around" w:hAnchor="page" w:y="6408"/>
        <w:jc w:val="center"/>
        <w:rPr>
          <w:rFonts w:ascii="黑体" w:hAnsi="黑体" w:eastAsia="黑体"/>
          <w:b w:val="0"/>
          <w:bCs w:val="0"/>
          <w:w w:val="100"/>
        </w:rPr>
      </w:pPr>
    </w:p>
    <w:p w14:paraId="4B190688">
      <w:pPr>
        <w:pStyle w:val="199"/>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t>轻中度寻常型银屑病（白疕）</w:t>
      </w:r>
      <w:r>
        <w:cr/>
      </w:r>
      <w:r>
        <w:t>中医规范化诊疗指南</w:t>
      </w:r>
      <w:r>
        <w:fldChar w:fldCharType="end"/>
      </w:r>
      <w:bookmarkEnd w:id="9"/>
    </w:p>
    <w:p w14:paraId="1A1C7576">
      <w:pPr>
        <w:framePr w:w="9639" w:h="6974" w:hRule="exact" w:wrap="around" w:vAnchor="page" w:hAnchor="page" w:x="1419" w:y="6408" w:anchorLock="1"/>
        <w:ind w:left="-1418"/>
      </w:pPr>
    </w:p>
    <w:p w14:paraId="50D2F27A">
      <w:pPr>
        <w:pStyle w:val="127"/>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fldChar w:fldCharType="separate"/>
      </w:r>
      <w:r>
        <w:rPr>
          <w:rFonts w:eastAsia="黑体"/>
          <w:szCs w:val="28"/>
        </w:rPr>
        <w:t>Guideline for standardized diagnosis and treatment of mild-to-moderate plaque psoriasis with traditional Chinese medicine</w:t>
      </w:r>
      <w:r>
        <w:rPr>
          <w:rFonts w:eastAsia="黑体"/>
          <w:szCs w:val="28"/>
        </w:rPr>
        <w:fldChar w:fldCharType="end"/>
      </w:r>
      <w:bookmarkEnd w:id="10"/>
    </w:p>
    <w:p w14:paraId="47AD1E84">
      <w:pPr>
        <w:framePr w:w="9639" w:h="6974" w:hRule="exact" w:wrap="around" w:vAnchor="page" w:hAnchor="page" w:x="1419" w:y="6408" w:anchorLock="1"/>
        <w:spacing w:line="760" w:lineRule="exact"/>
        <w:ind w:left="-1418"/>
      </w:pPr>
    </w:p>
    <w:p w14:paraId="577892E1">
      <w:pPr>
        <w:pStyle w:val="127"/>
        <w:framePr w:w="9639" w:h="6974" w:hRule="exact" w:wrap="around" w:vAnchor="page" w:hAnchor="page" w:x="1419" w:y="6408" w:anchorLock="1"/>
        <w:textAlignment w:val="bottom"/>
        <w:rPr>
          <w:rFonts w:eastAsia="黑体"/>
          <w:szCs w:val="28"/>
        </w:rPr>
      </w:pPr>
    </w:p>
    <w:p w14:paraId="47A7B547">
      <w:pPr>
        <w:pStyle w:val="127"/>
        <w:framePr w:w="9639" w:h="6974" w:hRule="exact" w:wrap="around" w:vAnchor="page" w:hAnchor="page" w:x="1419" w:y="6408" w:anchorLock="1"/>
        <w:spacing w:before="440" w:after="160"/>
        <w:textAlignment w:val="bottom"/>
        <w:rPr>
          <w:sz w:val="24"/>
          <w:szCs w:val="28"/>
        </w:rPr>
      </w:pPr>
      <w:bookmarkStart w:id="79" w:name="_GoBack"/>
      <w:r>
        <w:rPr>
          <w:rFonts w:hint="eastAsia"/>
          <w:sz w:val="24"/>
          <w:szCs w:val="28"/>
        </w:rPr>
        <w:fldChar w:fldCharType="begin">
          <w:ffData>
            <w:name w:val="下拉1"/>
            <w:enabled/>
            <w:calcOnExit w:val="0"/>
            <w:ddList>
              <w:listEntry w:val=" "/>
              <w:listEntry w:val="草案版次选择"/>
              <w:listEntry w:val="（工作组讨论稿）"/>
              <w:listEntry w:val="（征求意见稿）"/>
              <w:listEntry w:val="（送审讨论稿）"/>
              <w:listEntry w:val="（送审稿）"/>
              <w:listEntry w:val="（报批稿）"/>
            </w:ddList>
          </w:ffData>
        </w:fldChar>
      </w:r>
      <w:bookmarkStart w:id="11" w:name="下拉1"/>
      <w:r>
        <w:rPr>
          <w:rFonts w:hint="eastAsia"/>
          <w:sz w:val="24"/>
          <w:szCs w:val="28"/>
        </w:rPr>
        <w:instrText xml:space="preserve"> FORMDROPDOWN </w:instrText>
      </w:r>
      <w:r>
        <w:rPr>
          <w:rFonts w:hint="eastAsia"/>
          <w:sz w:val="24"/>
          <w:szCs w:val="28"/>
        </w:rPr>
        <w:fldChar w:fldCharType="separate"/>
      </w:r>
      <w:r>
        <w:rPr>
          <w:rFonts w:hint="eastAsia"/>
          <w:sz w:val="24"/>
          <w:szCs w:val="28"/>
        </w:rPr>
        <w:fldChar w:fldCharType="end"/>
      </w:r>
      <w:bookmarkEnd w:id="79"/>
      <w:bookmarkEnd w:id="11"/>
    </w:p>
    <w:p w14:paraId="07E24215">
      <w:pPr>
        <w:pStyle w:val="127"/>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rFonts w:hint="eastAsia"/>
          <w:sz w:val="21"/>
          <w:szCs w:val="28"/>
          <w:lang w:eastAsia="zh-CN"/>
        </w:rPr>
        <w:t>（</w:t>
      </w:r>
      <w:r>
        <w:rPr>
          <w:rFonts w:hint="eastAsia"/>
          <w:sz w:val="21"/>
          <w:szCs w:val="28"/>
        </w:rPr>
        <w:t>公示稿</w:t>
      </w:r>
      <w:r>
        <w:rPr>
          <w:rFonts w:hint="eastAsia"/>
          <w:sz w:val="21"/>
          <w:szCs w:val="28"/>
          <w:lang w:eastAsia="zh-CN"/>
        </w:rPr>
        <w:t>）</w:t>
      </w:r>
      <w:r>
        <w:rPr>
          <w:sz w:val="21"/>
          <w:szCs w:val="28"/>
        </w:rPr>
        <w:fldChar w:fldCharType="end"/>
      </w:r>
      <w:bookmarkEnd w:id="12"/>
    </w:p>
    <w:p w14:paraId="0E0DD894">
      <w:pPr>
        <w:pStyle w:val="127"/>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443A5B0A">
      <w:pPr>
        <w:pStyle w:val="195"/>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hint="eastAsia" w:ascii="黑体"/>
        </w:rPr>
        <w:t>2026</w:t>
      </w:r>
      <w:r>
        <w:rPr>
          <w:rFonts w:ascii="黑体"/>
        </w:rPr>
        <w:fldChar w:fldCharType="end"/>
      </w:r>
      <w:bookmarkEnd w:id="14"/>
      <w:r>
        <w:rPr>
          <w:rFonts w:ascii="黑体"/>
        </w:rPr>
        <w:t>-</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rPr>
          <w:rFonts w:ascii="黑体"/>
        </w:rPr>
        <w:t>-</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0DC36E18">
      <w:pPr>
        <w:pStyle w:val="196"/>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hint="eastAsia" w:ascii="黑体"/>
        </w:rPr>
        <w:t>2026</w:t>
      </w:r>
      <w:r>
        <w:rPr>
          <w:rFonts w:ascii="黑体"/>
        </w:rPr>
        <w:fldChar w:fldCharType="end"/>
      </w:r>
      <w:bookmarkEnd w:id="17"/>
      <w:r>
        <w:rPr>
          <w:rFonts w:ascii="黑体"/>
        </w:rPr>
        <w:t>-</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rPr>
          <w:rFonts w:ascii="黑体"/>
        </w:rPr>
        <w:t>-</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1D6351EF">
      <w:pPr>
        <w:pStyle w:val="153"/>
        <w:framePr w:h="584" w:hRule="exact" w:hSpace="181" w:vSpace="181" w:wrap="around" w:y="14800"/>
        <w:rPr>
          <w:rFonts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湖南省中医药和中西医结合学会</w:t>
      </w:r>
      <w:r>
        <w:rPr>
          <w:rFonts w:hAnsi="黑体"/>
          <w:w w:val="100"/>
          <w:sz w:val="28"/>
        </w:rPr>
        <w:fldChar w:fldCharType="end"/>
      </w:r>
      <w:bookmarkEnd w:id="20"/>
      <w:r>
        <w:rPr>
          <w:rFonts w:ascii="Times New Roman"/>
          <w:w w:val="100"/>
          <w:sz w:val="28"/>
        </w:rPr>
        <w:t>  </w:t>
      </w:r>
      <w:r>
        <w:rPr>
          <w:rStyle w:val="231"/>
          <w:rFonts w:hint="eastAsia" w:hAnsi="黑体"/>
          <w:position w:val="0"/>
        </w:rPr>
        <w:t>发</w:t>
      </w:r>
      <w:r>
        <w:rPr>
          <w:rStyle w:val="231"/>
          <w:rFonts w:hint="eastAsia" w:hAnsi="黑体"/>
          <w:spacing w:val="0"/>
          <w:position w:val="0"/>
        </w:rPr>
        <w:t>布</w:t>
      </w:r>
    </w:p>
    <w:p w14:paraId="064AEEAE">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567" w:right="1134" w:bottom="1134" w:left="1134" w:header="1418" w:footer="1134" w:gutter="284"/>
          <w:cols w:space="425" w:num="1"/>
          <w:titlePg/>
          <w:docGrid w:linePitch="312" w:charSpace="0"/>
        </w:sectPr>
      </w:pPr>
      <w:r>
        <w:rPr>
          <w:rFonts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9252585</wp:posOffset>
                </wp:positionV>
                <wp:extent cx="6120130" cy="0"/>
                <wp:effectExtent l="0" t="0" r="1270" b="0"/>
                <wp:wrapNone/>
                <wp:docPr id="2109116551" name="直线连接符 1"/>
                <wp:cNvGraphicFramePr/>
                <a:graphic xmlns:a="http://schemas.openxmlformats.org/drawingml/2006/main">
                  <a:graphicData uri="http://schemas.microsoft.com/office/word/2010/wordprocessingShape">
                    <wps:wsp>
                      <wps:cNvCnPr/>
                      <wps:spPr bwMode="auto">
                        <a:xfrm>
                          <a:off x="0" y="0"/>
                          <a:ext cx="6120130" cy="0"/>
                        </a:xfrm>
                        <a:prstGeom prst="line">
                          <a:avLst/>
                        </a:prstGeom>
                        <a:noFill/>
                        <a:ln w="9525">
                          <a:solidFill>
                            <a:srgbClr val="000000"/>
                          </a:solidFill>
                          <a:round/>
                        </a:ln>
                      </wps:spPr>
                      <wps:bodyPr/>
                    </wps:wsp>
                  </a:graphicData>
                </a:graphic>
              </wp:anchor>
            </w:drawing>
          </mc:Choice>
          <mc:Fallback>
            <w:pict>
              <v:line id="直线连接符 1" o:spid="_x0000_s1026" o:spt="20" style="position:absolute;left:0pt;margin-left:70.85pt;margin-top:728.55pt;height:0pt;width:481.9pt;mso-position-horizontal-relative:page;mso-position-vertical-relative:page;z-index:251660288;mso-width-relative:page;mso-height-relative:page;" filled="f" stroked="t" coordsize="21600,21600" o:gfxdata="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anRi9cAAAAOAQAADwAAAAAAAAABACAAAAAi&#10;AAAAZHJzL2Rvd25yZXYueG1sUEsBAhQAFAAAAAgAh07iQIsW7wHSAQAAgQMAAA4AAAAAAAAAAQAg&#10;AAAAJgEAAGRycy9lMm9Eb2MueG1sUEsFBgAAAAAGAAYAWQEAAGoFAAAAAA==&#10;">
                <v:fill on="f" focussize="0,0"/>
                <v:stroke color="#000000" joinstyle="round"/>
                <v:imagedata o:title=""/>
                <o:lock v:ext="edit" aspectratio="f"/>
                <w10:anchorlock/>
              </v:line>
            </w:pict>
          </mc:Fallback>
        </mc:AlternateContent>
      </w:r>
    </w:p>
    <w:p w14:paraId="03B34D2D">
      <w:pPr>
        <w:pStyle w:val="93"/>
        <w:spacing w:after="360"/>
      </w:pPr>
      <w:bookmarkStart w:id="21" w:name="BookMark1"/>
      <w:r>
        <w:rPr>
          <w:rFonts w:hint="eastAsia"/>
          <w:spacing w:val="320"/>
        </w:rPr>
        <w:t>目</w:t>
      </w:r>
      <w:r>
        <w:rPr>
          <w:rFonts w:hint="eastAsia"/>
        </w:rPr>
        <w:t>次</w:t>
      </w:r>
    </w:p>
    <w:p w14:paraId="10A46129">
      <w:pPr>
        <w:pStyle w:val="21"/>
        <w:tabs>
          <w:tab w:val="right" w:leader="dot" w:pos="9344"/>
        </w:tabs>
        <w:rPr>
          <w:rFonts w:asciiTheme="minorHAnsi" w:hAnsiTheme="minorHAnsi" w:eastAsiaTheme="minorEastAsia" w:cstheme="minorBidi"/>
          <w:szCs w:val="22"/>
        </w:rPr>
      </w:pPr>
      <w:r>
        <w:fldChar w:fldCharType="begin"/>
      </w:r>
      <w:r>
        <w:instrText xml:space="preserve"> </w:instrText>
      </w:r>
      <w:r>
        <w:rPr>
          <w:rFonts w:hint="eastAsia"/>
        </w:rPr>
        <w:instrText xml:space="preserve">TOC \o "1-1" \h \t "标准文件_一级条标题,2,标准文件_附录一级条标题,2,"</w:instrText>
      </w:r>
      <w:r>
        <w:instrText xml:space="preserve"> </w:instrText>
      </w:r>
      <w:r>
        <w:fldChar w:fldCharType="separate"/>
      </w:r>
      <w:r>
        <w:fldChar w:fldCharType="begin"/>
      </w:r>
      <w:r>
        <w:instrText xml:space="preserve"> HYPERLINK \l "_Toc237299212" </w:instrText>
      </w:r>
      <w:r>
        <w:fldChar w:fldCharType="separate"/>
      </w:r>
      <w:r>
        <w:rPr>
          <w:rStyle w:val="34"/>
          <w:rFonts w:hint="eastAsia"/>
        </w:rPr>
        <w:t>前言</w:t>
      </w:r>
      <w:r>
        <w:tab/>
      </w:r>
      <w:r>
        <w:fldChar w:fldCharType="begin"/>
      </w:r>
      <w:r>
        <w:instrText xml:space="preserve"> PAGEREF _Toc237299212 \h </w:instrText>
      </w:r>
      <w:r>
        <w:fldChar w:fldCharType="separate"/>
      </w:r>
      <w:r>
        <w:t>III</w:t>
      </w:r>
      <w:r>
        <w:fldChar w:fldCharType="end"/>
      </w:r>
      <w:r>
        <w:fldChar w:fldCharType="end"/>
      </w:r>
    </w:p>
    <w:p w14:paraId="0D302303">
      <w:pPr>
        <w:pStyle w:val="21"/>
        <w:tabs>
          <w:tab w:val="right" w:leader="dot" w:pos="9344"/>
        </w:tabs>
        <w:rPr>
          <w:rFonts w:asciiTheme="minorHAnsi" w:hAnsiTheme="minorHAnsi" w:eastAsiaTheme="minorEastAsia" w:cstheme="minorBidi"/>
          <w:szCs w:val="22"/>
        </w:rPr>
      </w:pPr>
      <w:r>
        <w:fldChar w:fldCharType="begin"/>
      </w:r>
      <w:r>
        <w:instrText xml:space="preserve"> HYPERLINK \l "_Toc237299213" </w:instrText>
      </w:r>
      <w:r>
        <w:fldChar w:fldCharType="separate"/>
      </w:r>
      <w:r>
        <w:rPr>
          <w:rStyle w:val="34"/>
          <w:rFonts w:hint="eastAsia"/>
        </w:rPr>
        <w:t>引言</w:t>
      </w:r>
      <w:r>
        <w:tab/>
      </w:r>
      <w:r>
        <w:fldChar w:fldCharType="begin"/>
      </w:r>
      <w:r>
        <w:instrText xml:space="preserve"> PAGEREF _Toc237299213 \h </w:instrText>
      </w:r>
      <w:r>
        <w:fldChar w:fldCharType="separate"/>
      </w:r>
      <w:r>
        <w:t>IV</w:t>
      </w:r>
      <w:r>
        <w:fldChar w:fldCharType="end"/>
      </w:r>
      <w:r>
        <w:fldChar w:fldCharType="end"/>
      </w:r>
    </w:p>
    <w:p w14:paraId="0ABBD7A6">
      <w:pPr>
        <w:pStyle w:val="21"/>
        <w:tabs>
          <w:tab w:val="right" w:leader="dot" w:pos="9344"/>
        </w:tabs>
        <w:rPr>
          <w:rFonts w:asciiTheme="minorHAnsi" w:hAnsiTheme="minorHAnsi" w:eastAsiaTheme="minorEastAsia" w:cstheme="minorBidi"/>
          <w:szCs w:val="22"/>
        </w:rPr>
      </w:pPr>
      <w:r>
        <w:fldChar w:fldCharType="begin"/>
      </w:r>
      <w:r>
        <w:instrText xml:space="preserve"> HYPERLINK \l "_Toc237299214" </w:instrText>
      </w:r>
      <w:r>
        <w:fldChar w:fldCharType="separate"/>
      </w:r>
      <w:r>
        <w:rPr>
          <w:rStyle w:val="34"/>
        </w:rPr>
        <w:t xml:space="preserve">1 </w:t>
      </w:r>
      <w:r>
        <w:rPr>
          <w:rStyle w:val="34"/>
          <w:rFonts w:hint="eastAsia"/>
        </w:rPr>
        <w:t xml:space="preserve"> 范围</w:t>
      </w:r>
      <w:r>
        <w:tab/>
      </w:r>
      <w:r>
        <w:fldChar w:fldCharType="begin"/>
      </w:r>
      <w:r>
        <w:instrText xml:space="preserve"> PAGEREF _Toc237299214 \h </w:instrText>
      </w:r>
      <w:r>
        <w:fldChar w:fldCharType="separate"/>
      </w:r>
      <w:r>
        <w:t>1</w:t>
      </w:r>
      <w:r>
        <w:fldChar w:fldCharType="end"/>
      </w:r>
      <w:r>
        <w:fldChar w:fldCharType="end"/>
      </w:r>
    </w:p>
    <w:p w14:paraId="634CBF90">
      <w:pPr>
        <w:pStyle w:val="21"/>
        <w:tabs>
          <w:tab w:val="right" w:leader="dot" w:pos="9344"/>
        </w:tabs>
        <w:rPr>
          <w:rFonts w:asciiTheme="minorHAnsi" w:hAnsiTheme="minorHAnsi" w:eastAsiaTheme="minorEastAsia" w:cstheme="minorBidi"/>
          <w:szCs w:val="22"/>
        </w:rPr>
      </w:pPr>
      <w:r>
        <w:fldChar w:fldCharType="begin"/>
      </w:r>
      <w:r>
        <w:instrText xml:space="preserve"> HYPERLINK \l "_Toc237299215" </w:instrText>
      </w:r>
      <w:r>
        <w:fldChar w:fldCharType="separate"/>
      </w:r>
      <w:r>
        <w:rPr>
          <w:rStyle w:val="34"/>
        </w:rPr>
        <w:t xml:space="preserve">2 </w:t>
      </w:r>
      <w:r>
        <w:rPr>
          <w:rStyle w:val="34"/>
          <w:rFonts w:hint="eastAsia"/>
        </w:rPr>
        <w:t xml:space="preserve"> 规范性引用文件</w:t>
      </w:r>
      <w:r>
        <w:tab/>
      </w:r>
      <w:r>
        <w:fldChar w:fldCharType="begin"/>
      </w:r>
      <w:r>
        <w:instrText xml:space="preserve"> PAGEREF _Toc237299215 \h </w:instrText>
      </w:r>
      <w:r>
        <w:fldChar w:fldCharType="separate"/>
      </w:r>
      <w:r>
        <w:t>1</w:t>
      </w:r>
      <w:r>
        <w:fldChar w:fldCharType="end"/>
      </w:r>
      <w:r>
        <w:fldChar w:fldCharType="end"/>
      </w:r>
    </w:p>
    <w:p w14:paraId="125DE35D">
      <w:pPr>
        <w:pStyle w:val="21"/>
        <w:tabs>
          <w:tab w:val="right" w:leader="dot" w:pos="9344"/>
        </w:tabs>
        <w:rPr>
          <w:rFonts w:asciiTheme="minorHAnsi" w:hAnsiTheme="minorHAnsi" w:eastAsiaTheme="minorEastAsia" w:cstheme="minorBidi"/>
          <w:szCs w:val="22"/>
        </w:rPr>
      </w:pPr>
      <w:r>
        <w:fldChar w:fldCharType="begin"/>
      </w:r>
      <w:r>
        <w:instrText xml:space="preserve"> HYPERLINK \l "_Toc237299216" </w:instrText>
      </w:r>
      <w:r>
        <w:fldChar w:fldCharType="separate"/>
      </w:r>
      <w:r>
        <w:rPr>
          <w:rStyle w:val="34"/>
        </w:rPr>
        <w:t xml:space="preserve">3 </w:t>
      </w:r>
      <w:r>
        <w:rPr>
          <w:rStyle w:val="34"/>
          <w:rFonts w:hint="eastAsia"/>
        </w:rPr>
        <w:t xml:space="preserve"> 术语和定义</w:t>
      </w:r>
      <w:r>
        <w:tab/>
      </w:r>
      <w:r>
        <w:fldChar w:fldCharType="begin"/>
      </w:r>
      <w:r>
        <w:instrText xml:space="preserve"> PAGEREF _Toc237299216 \h </w:instrText>
      </w:r>
      <w:r>
        <w:fldChar w:fldCharType="separate"/>
      </w:r>
      <w:r>
        <w:t>1</w:t>
      </w:r>
      <w:r>
        <w:fldChar w:fldCharType="end"/>
      </w:r>
      <w:r>
        <w:fldChar w:fldCharType="end"/>
      </w:r>
    </w:p>
    <w:p w14:paraId="36E8176A">
      <w:pPr>
        <w:pStyle w:val="21"/>
        <w:tabs>
          <w:tab w:val="right" w:leader="dot" w:pos="9344"/>
        </w:tabs>
        <w:rPr>
          <w:rFonts w:asciiTheme="minorHAnsi" w:hAnsiTheme="minorHAnsi" w:eastAsiaTheme="minorEastAsia" w:cstheme="minorBidi"/>
          <w:szCs w:val="22"/>
        </w:rPr>
      </w:pPr>
      <w:r>
        <w:fldChar w:fldCharType="begin"/>
      </w:r>
      <w:r>
        <w:instrText xml:space="preserve"> HYPERLINK \l "_Toc237299217" </w:instrText>
      </w:r>
      <w:r>
        <w:fldChar w:fldCharType="separate"/>
      </w:r>
      <w:r>
        <w:rPr>
          <w:rStyle w:val="34"/>
        </w:rPr>
        <w:t xml:space="preserve">4 </w:t>
      </w:r>
      <w:r>
        <w:rPr>
          <w:rStyle w:val="34"/>
          <w:rFonts w:hint="eastAsia"/>
        </w:rPr>
        <w:t xml:space="preserve"> 诊断</w:t>
      </w:r>
      <w:r>
        <w:tab/>
      </w:r>
      <w:r>
        <w:fldChar w:fldCharType="begin"/>
      </w:r>
      <w:r>
        <w:instrText xml:space="preserve"> PAGEREF _Toc237299217 \h </w:instrText>
      </w:r>
      <w:r>
        <w:fldChar w:fldCharType="separate"/>
      </w:r>
      <w:r>
        <w:t>1</w:t>
      </w:r>
      <w:r>
        <w:fldChar w:fldCharType="end"/>
      </w:r>
      <w:r>
        <w:fldChar w:fldCharType="end"/>
      </w:r>
    </w:p>
    <w:p w14:paraId="00D712EE">
      <w:pPr>
        <w:pStyle w:val="26"/>
        <w:rPr>
          <w:rFonts w:asciiTheme="minorHAnsi" w:hAnsiTheme="minorHAnsi" w:eastAsiaTheme="minorEastAsia" w:cstheme="minorBidi"/>
          <w:szCs w:val="22"/>
        </w:rPr>
      </w:pPr>
      <w:r>
        <w:fldChar w:fldCharType="begin"/>
      </w:r>
      <w:r>
        <w:instrText xml:space="preserve"> HYPERLINK \l "_Toc237299218" </w:instrText>
      </w:r>
      <w:r>
        <w:fldChar w:fldCharType="separate"/>
      </w:r>
      <w:r>
        <w:rPr>
          <w:rStyle w:val="34"/>
        </w:rPr>
        <w:t xml:space="preserve">4.1 </w:t>
      </w:r>
      <w:r>
        <w:rPr>
          <w:rStyle w:val="34"/>
          <w:rFonts w:hint="eastAsia"/>
        </w:rPr>
        <w:t xml:space="preserve"> 疾病诊断标准</w:t>
      </w:r>
      <w:r>
        <w:tab/>
      </w:r>
      <w:r>
        <w:fldChar w:fldCharType="begin"/>
      </w:r>
      <w:r>
        <w:instrText xml:space="preserve"> PAGEREF _Toc237299218 \h </w:instrText>
      </w:r>
      <w:r>
        <w:fldChar w:fldCharType="separate"/>
      </w:r>
      <w:r>
        <w:t>1</w:t>
      </w:r>
      <w:r>
        <w:fldChar w:fldCharType="end"/>
      </w:r>
      <w:r>
        <w:fldChar w:fldCharType="end"/>
      </w:r>
    </w:p>
    <w:p w14:paraId="55FDEAA2">
      <w:pPr>
        <w:pStyle w:val="26"/>
        <w:rPr>
          <w:rFonts w:asciiTheme="minorHAnsi" w:hAnsiTheme="minorHAnsi" w:eastAsiaTheme="minorEastAsia" w:cstheme="minorBidi"/>
          <w:szCs w:val="22"/>
        </w:rPr>
      </w:pPr>
      <w:r>
        <w:fldChar w:fldCharType="begin"/>
      </w:r>
      <w:r>
        <w:instrText xml:space="preserve"> HYPERLINK \l "_Toc237299219" </w:instrText>
      </w:r>
      <w:r>
        <w:fldChar w:fldCharType="separate"/>
      </w:r>
      <w:r>
        <w:rPr>
          <w:rStyle w:val="34"/>
        </w:rPr>
        <w:t xml:space="preserve">4.2 </w:t>
      </w:r>
      <w:r>
        <w:rPr>
          <w:rStyle w:val="34"/>
          <w:rFonts w:hint="eastAsia"/>
        </w:rPr>
        <w:t xml:space="preserve"> 严重程度分级标准</w:t>
      </w:r>
      <w:r>
        <w:tab/>
      </w:r>
      <w:r>
        <w:fldChar w:fldCharType="begin"/>
      </w:r>
      <w:r>
        <w:instrText xml:space="preserve"> PAGEREF _Toc237299219 \h </w:instrText>
      </w:r>
      <w:r>
        <w:fldChar w:fldCharType="separate"/>
      </w:r>
      <w:r>
        <w:t>2</w:t>
      </w:r>
      <w:r>
        <w:fldChar w:fldCharType="end"/>
      </w:r>
      <w:r>
        <w:fldChar w:fldCharType="end"/>
      </w:r>
    </w:p>
    <w:p w14:paraId="091F2F35">
      <w:pPr>
        <w:pStyle w:val="26"/>
        <w:rPr>
          <w:rFonts w:asciiTheme="minorHAnsi" w:hAnsiTheme="minorHAnsi" w:eastAsiaTheme="minorEastAsia" w:cstheme="minorBidi"/>
          <w:szCs w:val="22"/>
        </w:rPr>
      </w:pPr>
      <w:r>
        <w:fldChar w:fldCharType="begin"/>
      </w:r>
      <w:r>
        <w:instrText xml:space="preserve"> HYPERLINK \l "_Toc237299220" </w:instrText>
      </w:r>
      <w:r>
        <w:fldChar w:fldCharType="separate"/>
      </w:r>
      <w:r>
        <w:rPr>
          <w:rStyle w:val="34"/>
        </w:rPr>
        <w:t xml:space="preserve">4.3 </w:t>
      </w:r>
      <w:r>
        <w:rPr>
          <w:rStyle w:val="34"/>
          <w:rFonts w:hint="eastAsia"/>
        </w:rPr>
        <w:t xml:space="preserve"> 证候诊断标准</w:t>
      </w:r>
      <w:r>
        <w:tab/>
      </w:r>
      <w:r>
        <w:fldChar w:fldCharType="begin"/>
      </w:r>
      <w:r>
        <w:instrText xml:space="preserve"> PAGEREF _Toc237299220 \h </w:instrText>
      </w:r>
      <w:r>
        <w:fldChar w:fldCharType="separate"/>
      </w:r>
      <w:r>
        <w:t>2</w:t>
      </w:r>
      <w:r>
        <w:fldChar w:fldCharType="end"/>
      </w:r>
      <w:r>
        <w:fldChar w:fldCharType="end"/>
      </w:r>
    </w:p>
    <w:p w14:paraId="0C62C7D8">
      <w:pPr>
        <w:pStyle w:val="26"/>
        <w:rPr>
          <w:rFonts w:asciiTheme="minorHAnsi" w:hAnsiTheme="minorHAnsi" w:eastAsiaTheme="minorEastAsia" w:cstheme="minorBidi"/>
          <w:szCs w:val="22"/>
        </w:rPr>
      </w:pPr>
      <w:r>
        <w:fldChar w:fldCharType="begin"/>
      </w:r>
      <w:r>
        <w:instrText xml:space="preserve"> HYPERLINK \l "_Toc237299221" </w:instrText>
      </w:r>
      <w:r>
        <w:fldChar w:fldCharType="separate"/>
      </w:r>
      <w:r>
        <w:rPr>
          <w:rStyle w:val="34"/>
        </w:rPr>
        <w:t xml:space="preserve">4.4 </w:t>
      </w:r>
      <w:r>
        <w:rPr>
          <w:rStyle w:val="34"/>
          <w:rFonts w:hint="eastAsia"/>
        </w:rPr>
        <w:t xml:space="preserve"> 辅助检查</w:t>
      </w:r>
      <w:r>
        <w:tab/>
      </w:r>
      <w:r>
        <w:fldChar w:fldCharType="begin"/>
      </w:r>
      <w:r>
        <w:instrText xml:space="preserve"> PAGEREF _Toc237299221 \h </w:instrText>
      </w:r>
      <w:r>
        <w:fldChar w:fldCharType="separate"/>
      </w:r>
      <w:r>
        <w:t>2</w:t>
      </w:r>
      <w:r>
        <w:fldChar w:fldCharType="end"/>
      </w:r>
      <w:r>
        <w:fldChar w:fldCharType="end"/>
      </w:r>
    </w:p>
    <w:p w14:paraId="449956CD">
      <w:pPr>
        <w:pStyle w:val="21"/>
        <w:tabs>
          <w:tab w:val="right" w:leader="dot" w:pos="9344"/>
        </w:tabs>
        <w:rPr>
          <w:rFonts w:asciiTheme="minorHAnsi" w:hAnsiTheme="minorHAnsi" w:eastAsiaTheme="minorEastAsia" w:cstheme="minorBidi"/>
          <w:szCs w:val="22"/>
        </w:rPr>
      </w:pPr>
      <w:r>
        <w:fldChar w:fldCharType="begin"/>
      </w:r>
      <w:r>
        <w:instrText xml:space="preserve"> HYPERLINK \l "_Toc237299222" </w:instrText>
      </w:r>
      <w:r>
        <w:fldChar w:fldCharType="separate"/>
      </w:r>
      <w:r>
        <w:rPr>
          <w:rStyle w:val="34"/>
        </w:rPr>
        <w:t xml:space="preserve">5 </w:t>
      </w:r>
      <w:r>
        <w:rPr>
          <w:rStyle w:val="34"/>
          <w:rFonts w:hint="eastAsia"/>
        </w:rPr>
        <w:t xml:space="preserve"> 临床评估</w:t>
      </w:r>
      <w:r>
        <w:tab/>
      </w:r>
      <w:r>
        <w:fldChar w:fldCharType="begin"/>
      </w:r>
      <w:r>
        <w:instrText xml:space="preserve"> PAGEREF _Toc237299222 \h </w:instrText>
      </w:r>
      <w:r>
        <w:fldChar w:fldCharType="separate"/>
      </w:r>
      <w:r>
        <w:t>2</w:t>
      </w:r>
      <w:r>
        <w:fldChar w:fldCharType="end"/>
      </w:r>
      <w:r>
        <w:fldChar w:fldCharType="end"/>
      </w:r>
    </w:p>
    <w:p w14:paraId="49A3CC31">
      <w:pPr>
        <w:pStyle w:val="26"/>
        <w:rPr>
          <w:rFonts w:asciiTheme="minorHAnsi" w:hAnsiTheme="minorHAnsi" w:eastAsiaTheme="minorEastAsia" w:cstheme="minorBidi"/>
          <w:szCs w:val="22"/>
        </w:rPr>
      </w:pPr>
      <w:r>
        <w:fldChar w:fldCharType="begin"/>
      </w:r>
      <w:r>
        <w:instrText xml:space="preserve"> HYPERLINK \l "_Toc237299223" </w:instrText>
      </w:r>
      <w:r>
        <w:fldChar w:fldCharType="separate"/>
      </w:r>
      <w:r>
        <w:rPr>
          <w:rStyle w:val="34"/>
        </w:rPr>
        <w:t xml:space="preserve">5.1 </w:t>
      </w:r>
      <w:r>
        <w:rPr>
          <w:rStyle w:val="34"/>
          <w:rFonts w:hint="eastAsia"/>
        </w:rPr>
        <w:t xml:space="preserve"> 概述</w:t>
      </w:r>
      <w:r>
        <w:tab/>
      </w:r>
      <w:r>
        <w:fldChar w:fldCharType="begin"/>
      </w:r>
      <w:r>
        <w:instrText xml:space="preserve"> PAGEREF _Toc237299223 \h </w:instrText>
      </w:r>
      <w:r>
        <w:fldChar w:fldCharType="separate"/>
      </w:r>
      <w:r>
        <w:t>2</w:t>
      </w:r>
      <w:r>
        <w:fldChar w:fldCharType="end"/>
      </w:r>
      <w:r>
        <w:fldChar w:fldCharType="end"/>
      </w:r>
    </w:p>
    <w:p w14:paraId="2BDD45D9">
      <w:pPr>
        <w:pStyle w:val="26"/>
        <w:rPr>
          <w:rFonts w:asciiTheme="minorHAnsi" w:hAnsiTheme="minorHAnsi" w:eastAsiaTheme="minorEastAsia" w:cstheme="minorBidi"/>
          <w:szCs w:val="22"/>
        </w:rPr>
      </w:pPr>
      <w:r>
        <w:fldChar w:fldCharType="begin"/>
      </w:r>
      <w:r>
        <w:instrText xml:space="preserve"> HYPERLINK \l "_Toc237299224" </w:instrText>
      </w:r>
      <w:r>
        <w:fldChar w:fldCharType="separate"/>
      </w:r>
      <w:r>
        <w:rPr>
          <w:rStyle w:val="34"/>
        </w:rPr>
        <w:t xml:space="preserve">5.2 </w:t>
      </w:r>
      <w:r>
        <w:rPr>
          <w:rStyle w:val="34"/>
          <w:rFonts w:hint="eastAsia"/>
        </w:rPr>
        <w:t xml:space="preserve"> 皮损、病期及生活质量评估</w:t>
      </w:r>
      <w:r>
        <w:tab/>
      </w:r>
      <w:r>
        <w:fldChar w:fldCharType="begin"/>
      </w:r>
      <w:r>
        <w:instrText xml:space="preserve"> PAGEREF _Toc237299224 \h </w:instrText>
      </w:r>
      <w:r>
        <w:fldChar w:fldCharType="separate"/>
      </w:r>
      <w:r>
        <w:t>3</w:t>
      </w:r>
      <w:r>
        <w:fldChar w:fldCharType="end"/>
      </w:r>
      <w:r>
        <w:fldChar w:fldCharType="end"/>
      </w:r>
    </w:p>
    <w:p w14:paraId="62CD6BB3">
      <w:pPr>
        <w:pStyle w:val="26"/>
        <w:rPr>
          <w:rFonts w:asciiTheme="minorHAnsi" w:hAnsiTheme="minorHAnsi" w:eastAsiaTheme="minorEastAsia" w:cstheme="minorBidi"/>
          <w:szCs w:val="22"/>
        </w:rPr>
      </w:pPr>
      <w:r>
        <w:fldChar w:fldCharType="begin"/>
      </w:r>
      <w:r>
        <w:instrText xml:space="preserve"> HYPERLINK \l "_Toc237299225" </w:instrText>
      </w:r>
      <w:r>
        <w:fldChar w:fldCharType="separate"/>
      </w:r>
      <w:r>
        <w:rPr>
          <w:rStyle w:val="34"/>
        </w:rPr>
        <w:t xml:space="preserve">5.3 </w:t>
      </w:r>
      <w:r>
        <w:rPr>
          <w:rStyle w:val="34"/>
          <w:rFonts w:hint="eastAsia"/>
        </w:rPr>
        <w:t xml:space="preserve"> 特殊部位、关节及共病评估</w:t>
      </w:r>
      <w:r>
        <w:tab/>
      </w:r>
      <w:r>
        <w:fldChar w:fldCharType="begin"/>
      </w:r>
      <w:r>
        <w:instrText xml:space="preserve"> PAGEREF _Toc237299225 \h </w:instrText>
      </w:r>
      <w:r>
        <w:fldChar w:fldCharType="separate"/>
      </w:r>
      <w:r>
        <w:t>3</w:t>
      </w:r>
      <w:r>
        <w:fldChar w:fldCharType="end"/>
      </w:r>
      <w:r>
        <w:fldChar w:fldCharType="end"/>
      </w:r>
    </w:p>
    <w:p w14:paraId="7DA99202">
      <w:pPr>
        <w:pStyle w:val="21"/>
        <w:tabs>
          <w:tab w:val="right" w:leader="dot" w:pos="9344"/>
        </w:tabs>
        <w:rPr>
          <w:rFonts w:asciiTheme="minorHAnsi" w:hAnsiTheme="minorHAnsi" w:eastAsiaTheme="minorEastAsia" w:cstheme="minorBidi"/>
          <w:szCs w:val="22"/>
        </w:rPr>
      </w:pPr>
      <w:r>
        <w:fldChar w:fldCharType="begin"/>
      </w:r>
      <w:r>
        <w:instrText xml:space="preserve"> HYPERLINK \l "_Toc237299226" </w:instrText>
      </w:r>
      <w:r>
        <w:fldChar w:fldCharType="separate"/>
      </w:r>
      <w:r>
        <w:rPr>
          <w:rStyle w:val="34"/>
        </w:rPr>
        <w:t xml:space="preserve">6 </w:t>
      </w:r>
      <w:r>
        <w:rPr>
          <w:rStyle w:val="34"/>
          <w:rFonts w:hint="eastAsia"/>
        </w:rPr>
        <w:t xml:space="preserve"> 治疗</w:t>
      </w:r>
      <w:r>
        <w:tab/>
      </w:r>
      <w:r>
        <w:fldChar w:fldCharType="begin"/>
      </w:r>
      <w:r>
        <w:instrText xml:space="preserve"> PAGEREF _Toc237299226 \h </w:instrText>
      </w:r>
      <w:r>
        <w:fldChar w:fldCharType="separate"/>
      </w:r>
      <w:r>
        <w:t>3</w:t>
      </w:r>
      <w:r>
        <w:fldChar w:fldCharType="end"/>
      </w:r>
      <w:r>
        <w:fldChar w:fldCharType="end"/>
      </w:r>
    </w:p>
    <w:p w14:paraId="6D534AB7">
      <w:pPr>
        <w:pStyle w:val="26"/>
        <w:rPr>
          <w:rFonts w:asciiTheme="minorHAnsi" w:hAnsiTheme="minorHAnsi" w:eastAsiaTheme="minorEastAsia" w:cstheme="minorBidi"/>
          <w:szCs w:val="22"/>
        </w:rPr>
      </w:pPr>
      <w:r>
        <w:fldChar w:fldCharType="begin"/>
      </w:r>
      <w:r>
        <w:instrText xml:space="preserve"> HYPERLINK \l "_Toc237299227" </w:instrText>
      </w:r>
      <w:r>
        <w:fldChar w:fldCharType="separate"/>
      </w:r>
      <w:r>
        <w:rPr>
          <w:rStyle w:val="34"/>
        </w:rPr>
        <w:t xml:space="preserve">6.1 </w:t>
      </w:r>
      <w:r>
        <w:rPr>
          <w:rStyle w:val="34"/>
          <w:rFonts w:hint="eastAsia"/>
        </w:rPr>
        <w:t xml:space="preserve"> 治疗原则</w:t>
      </w:r>
      <w:r>
        <w:tab/>
      </w:r>
      <w:r>
        <w:fldChar w:fldCharType="begin"/>
      </w:r>
      <w:r>
        <w:instrText xml:space="preserve"> PAGEREF _Toc237299227 \h </w:instrText>
      </w:r>
      <w:r>
        <w:fldChar w:fldCharType="separate"/>
      </w:r>
      <w:r>
        <w:t>3</w:t>
      </w:r>
      <w:r>
        <w:fldChar w:fldCharType="end"/>
      </w:r>
      <w:r>
        <w:fldChar w:fldCharType="end"/>
      </w:r>
    </w:p>
    <w:p w14:paraId="2F662F37">
      <w:pPr>
        <w:pStyle w:val="26"/>
        <w:rPr>
          <w:rFonts w:asciiTheme="minorHAnsi" w:hAnsiTheme="minorHAnsi" w:eastAsiaTheme="minorEastAsia" w:cstheme="minorBidi"/>
          <w:szCs w:val="22"/>
        </w:rPr>
      </w:pPr>
      <w:r>
        <w:fldChar w:fldCharType="begin"/>
      </w:r>
      <w:r>
        <w:instrText xml:space="preserve"> HYPERLINK \l "_Toc237299228" </w:instrText>
      </w:r>
      <w:r>
        <w:fldChar w:fldCharType="separate"/>
      </w:r>
      <w:r>
        <w:rPr>
          <w:rStyle w:val="34"/>
        </w:rPr>
        <w:t xml:space="preserve">6.2 </w:t>
      </w:r>
      <w:r>
        <w:rPr>
          <w:rStyle w:val="34"/>
          <w:rFonts w:hint="eastAsia"/>
        </w:rPr>
        <w:t xml:space="preserve"> 血热证</w:t>
      </w:r>
      <w:r>
        <w:tab/>
      </w:r>
      <w:r>
        <w:fldChar w:fldCharType="begin"/>
      </w:r>
      <w:r>
        <w:instrText xml:space="preserve"> PAGEREF _Toc237299228 \h </w:instrText>
      </w:r>
      <w:r>
        <w:fldChar w:fldCharType="separate"/>
      </w:r>
      <w:r>
        <w:t>3</w:t>
      </w:r>
      <w:r>
        <w:fldChar w:fldCharType="end"/>
      </w:r>
      <w:r>
        <w:fldChar w:fldCharType="end"/>
      </w:r>
    </w:p>
    <w:p w14:paraId="7E2E17A2">
      <w:pPr>
        <w:pStyle w:val="26"/>
        <w:rPr>
          <w:rFonts w:asciiTheme="minorHAnsi" w:hAnsiTheme="minorHAnsi" w:eastAsiaTheme="minorEastAsia" w:cstheme="minorBidi"/>
          <w:szCs w:val="22"/>
        </w:rPr>
      </w:pPr>
      <w:r>
        <w:fldChar w:fldCharType="begin"/>
      </w:r>
      <w:r>
        <w:instrText xml:space="preserve"> HYPERLINK \l "_Toc237299229" </w:instrText>
      </w:r>
      <w:r>
        <w:fldChar w:fldCharType="separate"/>
      </w:r>
      <w:r>
        <w:rPr>
          <w:rStyle w:val="34"/>
        </w:rPr>
        <w:t xml:space="preserve">6.3 </w:t>
      </w:r>
      <w:r>
        <w:rPr>
          <w:rStyle w:val="34"/>
          <w:rFonts w:hint="eastAsia"/>
        </w:rPr>
        <w:t xml:space="preserve"> 血燥证</w:t>
      </w:r>
      <w:r>
        <w:tab/>
      </w:r>
      <w:r>
        <w:fldChar w:fldCharType="begin"/>
      </w:r>
      <w:r>
        <w:instrText xml:space="preserve"> PAGEREF _Toc237299229 \h </w:instrText>
      </w:r>
      <w:r>
        <w:fldChar w:fldCharType="separate"/>
      </w:r>
      <w:r>
        <w:t>3</w:t>
      </w:r>
      <w:r>
        <w:fldChar w:fldCharType="end"/>
      </w:r>
      <w:r>
        <w:fldChar w:fldCharType="end"/>
      </w:r>
    </w:p>
    <w:p w14:paraId="494DAD11">
      <w:pPr>
        <w:pStyle w:val="26"/>
        <w:rPr>
          <w:rFonts w:asciiTheme="minorHAnsi" w:hAnsiTheme="minorHAnsi" w:eastAsiaTheme="minorEastAsia" w:cstheme="minorBidi"/>
          <w:szCs w:val="22"/>
        </w:rPr>
      </w:pPr>
      <w:r>
        <w:fldChar w:fldCharType="begin"/>
      </w:r>
      <w:r>
        <w:instrText xml:space="preserve"> HYPERLINK \l "_Toc237299230" </w:instrText>
      </w:r>
      <w:r>
        <w:fldChar w:fldCharType="separate"/>
      </w:r>
      <w:r>
        <w:rPr>
          <w:rStyle w:val="34"/>
        </w:rPr>
        <w:t xml:space="preserve">6.4 </w:t>
      </w:r>
      <w:r>
        <w:rPr>
          <w:rStyle w:val="34"/>
          <w:rFonts w:hint="eastAsia"/>
        </w:rPr>
        <w:t xml:space="preserve"> 血瘀证</w:t>
      </w:r>
      <w:r>
        <w:tab/>
      </w:r>
      <w:r>
        <w:fldChar w:fldCharType="begin"/>
      </w:r>
      <w:r>
        <w:instrText xml:space="preserve"> PAGEREF _Toc237299230 \h </w:instrText>
      </w:r>
      <w:r>
        <w:fldChar w:fldCharType="separate"/>
      </w:r>
      <w:r>
        <w:t>4</w:t>
      </w:r>
      <w:r>
        <w:fldChar w:fldCharType="end"/>
      </w:r>
      <w:r>
        <w:fldChar w:fldCharType="end"/>
      </w:r>
    </w:p>
    <w:p w14:paraId="43F551E6">
      <w:pPr>
        <w:pStyle w:val="26"/>
        <w:rPr>
          <w:rFonts w:asciiTheme="minorHAnsi" w:hAnsiTheme="minorHAnsi" w:eastAsiaTheme="minorEastAsia" w:cstheme="minorBidi"/>
          <w:szCs w:val="22"/>
        </w:rPr>
      </w:pPr>
      <w:r>
        <w:fldChar w:fldCharType="begin"/>
      </w:r>
      <w:r>
        <w:instrText xml:space="preserve"> HYPERLINK \l "_Toc237299231" </w:instrText>
      </w:r>
      <w:r>
        <w:fldChar w:fldCharType="separate"/>
      </w:r>
      <w:r>
        <w:rPr>
          <w:rStyle w:val="34"/>
        </w:rPr>
        <w:t xml:space="preserve">6.5 </w:t>
      </w:r>
      <w:r>
        <w:rPr>
          <w:rStyle w:val="34"/>
          <w:rFonts w:hint="eastAsia"/>
        </w:rPr>
        <w:t xml:space="preserve"> 调护与基础治疗</w:t>
      </w:r>
      <w:r>
        <w:tab/>
      </w:r>
      <w:r>
        <w:fldChar w:fldCharType="begin"/>
      </w:r>
      <w:r>
        <w:instrText xml:space="preserve"> PAGEREF _Toc237299231 \h </w:instrText>
      </w:r>
      <w:r>
        <w:fldChar w:fldCharType="separate"/>
      </w:r>
      <w:r>
        <w:t>4</w:t>
      </w:r>
      <w:r>
        <w:fldChar w:fldCharType="end"/>
      </w:r>
      <w:r>
        <w:fldChar w:fldCharType="end"/>
      </w:r>
    </w:p>
    <w:p w14:paraId="3553AD89">
      <w:pPr>
        <w:pStyle w:val="26"/>
        <w:rPr>
          <w:rFonts w:asciiTheme="minorHAnsi" w:hAnsiTheme="minorHAnsi" w:eastAsiaTheme="minorEastAsia" w:cstheme="minorBidi"/>
          <w:szCs w:val="22"/>
        </w:rPr>
      </w:pPr>
      <w:r>
        <w:fldChar w:fldCharType="begin"/>
      </w:r>
      <w:r>
        <w:instrText xml:space="preserve"> HYPERLINK \l "_Toc237299232" </w:instrText>
      </w:r>
      <w:r>
        <w:fldChar w:fldCharType="separate"/>
      </w:r>
      <w:r>
        <w:rPr>
          <w:rStyle w:val="34"/>
        </w:rPr>
        <w:t xml:space="preserve">6.6 </w:t>
      </w:r>
      <w:r>
        <w:rPr>
          <w:rStyle w:val="34"/>
          <w:rFonts w:hint="eastAsia"/>
        </w:rPr>
        <w:t xml:space="preserve"> 治疗方案及应用参考</w:t>
      </w:r>
      <w:r>
        <w:tab/>
      </w:r>
      <w:r>
        <w:fldChar w:fldCharType="begin"/>
      </w:r>
      <w:r>
        <w:instrText xml:space="preserve"> PAGEREF _Toc237299232 \h </w:instrText>
      </w:r>
      <w:r>
        <w:fldChar w:fldCharType="separate"/>
      </w:r>
      <w:r>
        <w:t>4</w:t>
      </w:r>
      <w:r>
        <w:fldChar w:fldCharType="end"/>
      </w:r>
      <w:r>
        <w:fldChar w:fldCharType="end"/>
      </w:r>
      <w:r>
        <w:br w:type="page"/>
      </w:r>
    </w:p>
    <w:p w14:paraId="66353776">
      <w:pPr>
        <w:pStyle w:val="21"/>
        <w:tabs>
          <w:tab w:val="right" w:leader="dot" w:pos="9344"/>
        </w:tabs>
        <w:rPr>
          <w:rFonts w:asciiTheme="minorHAnsi" w:hAnsiTheme="minorHAnsi" w:eastAsiaTheme="minorEastAsia" w:cstheme="minorBidi"/>
          <w:szCs w:val="22"/>
        </w:rPr>
      </w:pPr>
      <w:r>
        <w:fldChar w:fldCharType="begin"/>
      </w:r>
      <w:r>
        <w:instrText xml:space="preserve"> HYPERLINK \l "_Toc237299233" </w:instrText>
      </w:r>
      <w:r>
        <w:fldChar w:fldCharType="separate"/>
      </w:r>
      <w:r>
        <w:rPr>
          <w:rStyle w:val="34"/>
        </w:rPr>
        <w:t xml:space="preserve">7 </w:t>
      </w:r>
      <w:r>
        <w:rPr>
          <w:rStyle w:val="34"/>
          <w:rFonts w:hint="eastAsia"/>
        </w:rPr>
        <w:t xml:space="preserve"> 疗效评价</w:t>
      </w:r>
      <w:r>
        <w:tab/>
      </w:r>
      <w:r>
        <w:fldChar w:fldCharType="begin"/>
      </w:r>
      <w:r>
        <w:instrText xml:space="preserve"> PAGEREF _Toc237299233 \h </w:instrText>
      </w:r>
      <w:r>
        <w:fldChar w:fldCharType="separate"/>
      </w:r>
      <w:r>
        <w:t>6</w:t>
      </w:r>
      <w:r>
        <w:fldChar w:fldCharType="end"/>
      </w:r>
      <w:r>
        <w:fldChar w:fldCharType="end"/>
      </w:r>
    </w:p>
    <w:p w14:paraId="229D89C7">
      <w:pPr>
        <w:pStyle w:val="26"/>
        <w:rPr>
          <w:rFonts w:asciiTheme="minorHAnsi" w:hAnsiTheme="minorHAnsi" w:eastAsiaTheme="minorEastAsia" w:cstheme="minorBidi"/>
          <w:szCs w:val="22"/>
        </w:rPr>
      </w:pPr>
      <w:r>
        <w:fldChar w:fldCharType="begin"/>
      </w:r>
      <w:r>
        <w:instrText xml:space="preserve"> HYPERLINK \l "_Toc237299234" </w:instrText>
      </w:r>
      <w:r>
        <w:fldChar w:fldCharType="separate"/>
      </w:r>
      <w:r>
        <w:rPr>
          <w:rStyle w:val="34"/>
        </w:rPr>
        <w:t xml:space="preserve">7.1 </w:t>
      </w:r>
      <w:r>
        <w:rPr>
          <w:rStyle w:val="34"/>
          <w:rFonts w:hint="eastAsia"/>
        </w:rPr>
        <w:t xml:space="preserve"> 评估时点</w:t>
      </w:r>
      <w:r>
        <w:tab/>
      </w:r>
      <w:r>
        <w:fldChar w:fldCharType="begin"/>
      </w:r>
      <w:r>
        <w:instrText xml:space="preserve"> PAGEREF _Toc237299234 \h </w:instrText>
      </w:r>
      <w:r>
        <w:fldChar w:fldCharType="separate"/>
      </w:r>
      <w:r>
        <w:t>6</w:t>
      </w:r>
      <w:r>
        <w:fldChar w:fldCharType="end"/>
      </w:r>
      <w:r>
        <w:fldChar w:fldCharType="end"/>
      </w:r>
    </w:p>
    <w:p w14:paraId="10BB5DF4">
      <w:pPr>
        <w:pStyle w:val="26"/>
        <w:rPr>
          <w:rFonts w:asciiTheme="minorHAnsi" w:hAnsiTheme="minorHAnsi" w:eastAsiaTheme="minorEastAsia" w:cstheme="minorBidi"/>
          <w:szCs w:val="22"/>
        </w:rPr>
      </w:pPr>
      <w:r>
        <w:fldChar w:fldCharType="begin"/>
      </w:r>
      <w:r>
        <w:instrText xml:space="preserve"> HYPERLINK \l "_Toc237299235" </w:instrText>
      </w:r>
      <w:r>
        <w:fldChar w:fldCharType="separate"/>
      </w:r>
      <w:r>
        <w:rPr>
          <w:rStyle w:val="34"/>
        </w:rPr>
        <w:t xml:space="preserve">7.2 </w:t>
      </w:r>
      <w:r>
        <w:rPr>
          <w:rStyle w:val="34"/>
          <w:rFonts w:hint="eastAsia"/>
        </w:rPr>
        <w:t xml:space="preserve"> 皮损疗效评价</w:t>
      </w:r>
      <w:r>
        <w:tab/>
      </w:r>
      <w:r>
        <w:fldChar w:fldCharType="begin"/>
      </w:r>
      <w:r>
        <w:instrText xml:space="preserve"> PAGEREF _Toc237299235 \h </w:instrText>
      </w:r>
      <w:r>
        <w:fldChar w:fldCharType="separate"/>
      </w:r>
      <w:r>
        <w:t>7</w:t>
      </w:r>
      <w:r>
        <w:fldChar w:fldCharType="end"/>
      </w:r>
      <w:r>
        <w:fldChar w:fldCharType="end"/>
      </w:r>
    </w:p>
    <w:p w14:paraId="7F101821">
      <w:pPr>
        <w:pStyle w:val="26"/>
        <w:rPr>
          <w:rFonts w:asciiTheme="minorHAnsi" w:hAnsiTheme="minorHAnsi" w:eastAsiaTheme="minorEastAsia" w:cstheme="minorBidi"/>
          <w:szCs w:val="22"/>
        </w:rPr>
      </w:pPr>
      <w:r>
        <w:fldChar w:fldCharType="begin"/>
      </w:r>
      <w:r>
        <w:instrText xml:space="preserve"> HYPERLINK \l "_Toc237299236" </w:instrText>
      </w:r>
      <w:r>
        <w:fldChar w:fldCharType="separate"/>
      </w:r>
      <w:r>
        <w:rPr>
          <w:rStyle w:val="34"/>
        </w:rPr>
        <w:t xml:space="preserve">7.3 </w:t>
      </w:r>
      <w:r>
        <w:rPr>
          <w:rStyle w:val="34"/>
          <w:rFonts w:hint="eastAsia"/>
        </w:rPr>
        <w:t xml:space="preserve"> 症状及生活质量评价</w:t>
      </w:r>
      <w:r>
        <w:tab/>
      </w:r>
      <w:r>
        <w:fldChar w:fldCharType="begin"/>
      </w:r>
      <w:r>
        <w:instrText xml:space="preserve"> PAGEREF _Toc237299236 \h </w:instrText>
      </w:r>
      <w:r>
        <w:fldChar w:fldCharType="separate"/>
      </w:r>
      <w:r>
        <w:t>7</w:t>
      </w:r>
      <w:r>
        <w:fldChar w:fldCharType="end"/>
      </w:r>
      <w:r>
        <w:fldChar w:fldCharType="end"/>
      </w:r>
    </w:p>
    <w:p w14:paraId="277A9690">
      <w:pPr>
        <w:pStyle w:val="26"/>
        <w:rPr>
          <w:rFonts w:asciiTheme="minorHAnsi" w:hAnsiTheme="minorHAnsi" w:eastAsiaTheme="minorEastAsia" w:cstheme="minorBidi"/>
          <w:szCs w:val="22"/>
        </w:rPr>
      </w:pPr>
      <w:r>
        <w:fldChar w:fldCharType="begin"/>
      </w:r>
      <w:r>
        <w:instrText xml:space="preserve"> HYPERLINK \l "_Toc237299237" </w:instrText>
      </w:r>
      <w:r>
        <w:fldChar w:fldCharType="separate"/>
      </w:r>
      <w:r>
        <w:rPr>
          <w:rStyle w:val="34"/>
        </w:rPr>
        <w:t xml:space="preserve">7.4 </w:t>
      </w:r>
      <w:r>
        <w:rPr>
          <w:rStyle w:val="34"/>
          <w:rFonts w:hint="eastAsia"/>
        </w:rPr>
        <w:t xml:space="preserve"> 疗效不足或不耐受时的处理</w:t>
      </w:r>
      <w:r>
        <w:tab/>
      </w:r>
      <w:r>
        <w:fldChar w:fldCharType="begin"/>
      </w:r>
      <w:r>
        <w:instrText xml:space="preserve"> PAGEREF _Toc237299237 \h </w:instrText>
      </w:r>
      <w:r>
        <w:fldChar w:fldCharType="separate"/>
      </w:r>
      <w:r>
        <w:t>7</w:t>
      </w:r>
      <w:r>
        <w:fldChar w:fldCharType="end"/>
      </w:r>
      <w:r>
        <w:fldChar w:fldCharType="end"/>
      </w:r>
    </w:p>
    <w:p w14:paraId="24EECD6F">
      <w:pPr>
        <w:pStyle w:val="21"/>
        <w:tabs>
          <w:tab w:val="right" w:leader="dot" w:pos="9344"/>
        </w:tabs>
        <w:rPr>
          <w:rFonts w:asciiTheme="minorHAnsi" w:hAnsiTheme="minorHAnsi" w:eastAsiaTheme="minorEastAsia" w:cstheme="minorBidi"/>
          <w:szCs w:val="22"/>
        </w:rPr>
      </w:pPr>
      <w:r>
        <w:fldChar w:fldCharType="begin"/>
      </w:r>
      <w:r>
        <w:instrText xml:space="preserve"> HYPERLINK \l "_Toc237299238" </w:instrText>
      </w:r>
      <w:r>
        <w:fldChar w:fldCharType="separate"/>
      </w:r>
      <w:r>
        <w:rPr>
          <w:rStyle w:val="34"/>
        </w:rPr>
        <w:t xml:space="preserve">8 </w:t>
      </w:r>
      <w:r>
        <w:rPr>
          <w:rStyle w:val="34"/>
          <w:rFonts w:hint="eastAsia"/>
        </w:rPr>
        <w:t xml:space="preserve"> 护理与自我管理</w:t>
      </w:r>
      <w:r>
        <w:tab/>
      </w:r>
      <w:r>
        <w:fldChar w:fldCharType="begin"/>
      </w:r>
      <w:r>
        <w:instrText xml:space="preserve"> PAGEREF _Toc237299238 \h </w:instrText>
      </w:r>
      <w:r>
        <w:fldChar w:fldCharType="separate"/>
      </w:r>
      <w:r>
        <w:t>7</w:t>
      </w:r>
      <w:r>
        <w:fldChar w:fldCharType="end"/>
      </w:r>
      <w:r>
        <w:fldChar w:fldCharType="end"/>
      </w:r>
    </w:p>
    <w:p w14:paraId="784BDADC">
      <w:pPr>
        <w:pStyle w:val="26"/>
        <w:rPr>
          <w:rFonts w:asciiTheme="minorHAnsi" w:hAnsiTheme="minorHAnsi" w:eastAsiaTheme="minorEastAsia" w:cstheme="minorBidi"/>
          <w:szCs w:val="22"/>
        </w:rPr>
      </w:pPr>
      <w:r>
        <w:fldChar w:fldCharType="begin"/>
      </w:r>
      <w:r>
        <w:instrText xml:space="preserve"> HYPERLINK \l "_Toc237299239" </w:instrText>
      </w:r>
      <w:r>
        <w:fldChar w:fldCharType="separate"/>
      </w:r>
      <w:r>
        <w:rPr>
          <w:rStyle w:val="34"/>
        </w:rPr>
        <w:t xml:space="preserve">8.1 </w:t>
      </w:r>
      <w:r>
        <w:rPr>
          <w:rStyle w:val="34"/>
          <w:rFonts w:hint="eastAsia"/>
        </w:rPr>
        <w:t xml:space="preserve"> 一般护理</w:t>
      </w:r>
      <w:r>
        <w:tab/>
      </w:r>
      <w:r>
        <w:fldChar w:fldCharType="begin"/>
      </w:r>
      <w:r>
        <w:instrText xml:space="preserve"> PAGEREF _Toc237299239 \h </w:instrText>
      </w:r>
      <w:r>
        <w:fldChar w:fldCharType="separate"/>
      </w:r>
      <w:r>
        <w:t>7</w:t>
      </w:r>
      <w:r>
        <w:fldChar w:fldCharType="end"/>
      </w:r>
      <w:r>
        <w:fldChar w:fldCharType="end"/>
      </w:r>
    </w:p>
    <w:p w14:paraId="11182B54">
      <w:pPr>
        <w:pStyle w:val="26"/>
        <w:rPr>
          <w:rFonts w:asciiTheme="minorHAnsi" w:hAnsiTheme="minorHAnsi" w:eastAsiaTheme="minorEastAsia" w:cstheme="minorBidi"/>
          <w:szCs w:val="22"/>
        </w:rPr>
      </w:pPr>
      <w:r>
        <w:fldChar w:fldCharType="begin"/>
      </w:r>
      <w:r>
        <w:instrText xml:space="preserve"> HYPERLINK \l "_Toc237299240" </w:instrText>
      </w:r>
      <w:r>
        <w:fldChar w:fldCharType="separate"/>
      </w:r>
      <w:r>
        <w:rPr>
          <w:rStyle w:val="34"/>
        </w:rPr>
        <w:t xml:space="preserve">8.2 </w:t>
      </w:r>
      <w:r>
        <w:rPr>
          <w:rStyle w:val="34"/>
          <w:rFonts w:hint="eastAsia"/>
        </w:rPr>
        <w:t xml:space="preserve"> 情志护理</w:t>
      </w:r>
      <w:r>
        <w:tab/>
      </w:r>
      <w:r>
        <w:fldChar w:fldCharType="begin"/>
      </w:r>
      <w:r>
        <w:instrText xml:space="preserve"> PAGEREF _Toc237299240 \h </w:instrText>
      </w:r>
      <w:r>
        <w:fldChar w:fldCharType="separate"/>
      </w:r>
      <w:r>
        <w:t>7</w:t>
      </w:r>
      <w:r>
        <w:fldChar w:fldCharType="end"/>
      </w:r>
      <w:r>
        <w:fldChar w:fldCharType="end"/>
      </w:r>
    </w:p>
    <w:p w14:paraId="6742DD4D">
      <w:pPr>
        <w:pStyle w:val="26"/>
        <w:rPr>
          <w:rFonts w:asciiTheme="minorHAnsi" w:hAnsiTheme="minorHAnsi" w:eastAsiaTheme="minorEastAsia" w:cstheme="minorBidi"/>
          <w:szCs w:val="22"/>
        </w:rPr>
      </w:pPr>
      <w:r>
        <w:fldChar w:fldCharType="begin"/>
      </w:r>
      <w:r>
        <w:instrText xml:space="preserve"> HYPERLINK \l "_Toc237299241" </w:instrText>
      </w:r>
      <w:r>
        <w:fldChar w:fldCharType="separate"/>
      </w:r>
      <w:r>
        <w:rPr>
          <w:rStyle w:val="34"/>
        </w:rPr>
        <w:t xml:space="preserve">8.3 </w:t>
      </w:r>
      <w:r>
        <w:rPr>
          <w:rStyle w:val="34"/>
          <w:rFonts w:hint="eastAsia"/>
        </w:rPr>
        <w:t xml:space="preserve"> 健康指导</w:t>
      </w:r>
      <w:r>
        <w:tab/>
      </w:r>
      <w:r>
        <w:fldChar w:fldCharType="begin"/>
      </w:r>
      <w:r>
        <w:instrText xml:space="preserve"> PAGEREF _Toc237299241 \h </w:instrText>
      </w:r>
      <w:r>
        <w:fldChar w:fldCharType="separate"/>
      </w:r>
      <w:r>
        <w:t>7</w:t>
      </w:r>
      <w:r>
        <w:fldChar w:fldCharType="end"/>
      </w:r>
      <w:r>
        <w:fldChar w:fldCharType="end"/>
      </w:r>
    </w:p>
    <w:p w14:paraId="0B30BE20">
      <w:pPr>
        <w:pStyle w:val="21"/>
        <w:tabs>
          <w:tab w:val="right" w:leader="dot" w:pos="9344"/>
        </w:tabs>
        <w:rPr>
          <w:rFonts w:asciiTheme="minorHAnsi" w:hAnsiTheme="minorHAnsi" w:eastAsiaTheme="minorEastAsia" w:cstheme="minorBidi"/>
          <w:szCs w:val="22"/>
        </w:rPr>
      </w:pPr>
      <w:r>
        <w:fldChar w:fldCharType="begin"/>
      </w:r>
      <w:r>
        <w:instrText xml:space="preserve"> HYPERLINK \l "_Toc237299242" </w:instrText>
      </w:r>
      <w:r>
        <w:fldChar w:fldCharType="separate"/>
      </w:r>
      <w:r>
        <w:rPr>
          <w:rStyle w:val="34"/>
          <w:rFonts w:hint="eastAsia"/>
        </w:rPr>
        <w:t>附录A（资料性）</w:t>
      </w:r>
      <w:r>
        <w:rPr>
          <w:rStyle w:val="34"/>
        </w:rPr>
        <w:t xml:space="preserve">  </w:t>
      </w:r>
      <w:r>
        <w:rPr>
          <w:rStyle w:val="34"/>
          <w:rFonts w:hint="eastAsia"/>
        </w:rPr>
        <w:t>诊疗流程图</w:t>
      </w:r>
      <w:r>
        <w:tab/>
      </w:r>
      <w:r>
        <w:fldChar w:fldCharType="begin"/>
      </w:r>
      <w:r>
        <w:instrText xml:space="preserve"> PAGEREF _Toc237299242 \h </w:instrText>
      </w:r>
      <w:r>
        <w:fldChar w:fldCharType="separate"/>
      </w:r>
      <w:r>
        <w:t>8</w:t>
      </w:r>
      <w:r>
        <w:fldChar w:fldCharType="end"/>
      </w:r>
      <w:r>
        <w:fldChar w:fldCharType="end"/>
      </w:r>
    </w:p>
    <w:p w14:paraId="67FA7B5C">
      <w:pPr>
        <w:pStyle w:val="21"/>
        <w:tabs>
          <w:tab w:val="right" w:leader="dot" w:pos="9344"/>
        </w:tabs>
        <w:rPr>
          <w:rFonts w:asciiTheme="minorHAnsi" w:hAnsiTheme="minorHAnsi" w:eastAsiaTheme="minorEastAsia" w:cstheme="minorBidi"/>
          <w:szCs w:val="22"/>
        </w:rPr>
      </w:pPr>
      <w:r>
        <w:fldChar w:fldCharType="begin"/>
      </w:r>
      <w:r>
        <w:instrText xml:space="preserve"> HYPERLINK \l "_Toc237299250" </w:instrText>
      </w:r>
      <w:r>
        <w:fldChar w:fldCharType="separate"/>
      </w:r>
      <w:r>
        <w:rPr>
          <w:rStyle w:val="34"/>
          <w:rFonts w:hint="eastAsia"/>
        </w:rPr>
        <w:t>参考文献</w:t>
      </w:r>
      <w:r>
        <w:tab/>
      </w:r>
      <w:r>
        <w:fldChar w:fldCharType="begin"/>
      </w:r>
      <w:r>
        <w:instrText xml:space="preserve"> PAGEREF _Toc237299250 \h </w:instrText>
      </w:r>
      <w:r>
        <w:fldChar w:fldCharType="separate"/>
      </w:r>
      <w:r>
        <w:t>9</w:t>
      </w:r>
      <w:r>
        <w:fldChar w:fldCharType="end"/>
      </w:r>
      <w:r>
        <w:fldChar w:fldCharType="end"/>
      </w:r>
    </w:p>
    <w:p w14:paraId="0F5B58EF">
      <w:pPr>
        <w:pStyle w:val="93"/>
        <w:spacing w:after="360"/>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linePitch="312" w:charSpace="0"/>
        </w:sectPr>
      </w:pPr>
      <w:r>
        <w:fldChar w:fldCharType="end"/>
      </w:r>
    </w:p>
    <w:bookmarkEnd w:id="21"/>
    <w:p w14:paraId="3E6F7A81">
      <w:pPr>
        <w:pStyle w:val="91"/>
        <w:spacing w:before="900" w:after="360"/>
      </w:pPr>
      <w:bookmarkStart w:id="22" w:name="_Toc237299212"/>
      <w:bookmarkStart w:id="23" w:name="BookMark2"/>
      <w:r>
        <w:rPr>
          <w:spacing w:val="320"/>
        </w:rPr>
        <w:t>前</w:t>
      </w:r>
      <w:r>
        <w:t>言</w:t>
      </w:r>
      <w:bookmarkEnd w:id="22"/>
    </w:p>
    <w:p w14:paraId="55BB6ABF">
      <w:pPr>
        <w:pStyle w:val="58"/>
        <w:ind w:firstLine="420"/>
      </w:pPr>
      <w:r>
        <w:rPr>
          <w:rFonts w:hint="eastAsia"/>
        </w:rPr>
        <w:t>本文件按照GB/T 1.1—2020《标准化工作导则  第1部分：标准化文件的结构和起草规则》的规定起草。</w:t>
      </w:r>
    </w:p>
    <w:p w14:paraId="11FB10F5">
      <w:pPr>
        <w:pStyle w:val="58"/>
        <w:ind w:firstLine="420"/>
      </w:pPr>
      <w:r>
        <w:rPr>
          <w:rFonts w:hint="eastAsia"/>
        </w:rPr>
        <w:t>请注意本文件的某些内容可能涉及专利。本文件的发布机构不承担识别专利的责任。</w:t>
      </w:r>
    </w:p>
    <w:p w14:paraId="67C64C3C">
      <w:pPr>
        <w:pStyle w:val="58"/>
        <w:ind w:firstLine="420"/>
      </w:pPr>
      <w:r>
        <w:rPr>
          <w:rFonts w:hint="eastAsia"/>
        </w:rPr>
        <w:t>本文件由湖南中医药大学第二附属医院提出。</w:t>
      </w:r>
    </w:p>
    <w:p w14:paraId="3D6793B5">
      <w:pPr>
        <w:pStyle w:val="58"/>
        <w:ind w:firstLine="420"/>
      </w:pPr>
      <w:r>
        <w:rPr>
          <w:rFonts w:hint="eastAsia"/>
        </w:rPr>
        <w:t>本文件由湖南省中医药和中西医结合学会归口。</w:t>
      </w:r>
    </w:p>
    <w:p w14:paraId="499A4E89">
      <w:pPr>
        <w:pStyle w:val="58"/>
        <w:ind w:firstLine="420"/>
      </w:pPr>
      <w:r>
        <w:rPr>
          <w:rFonts w:hint="eastAsia"/>
        </w:rPr>
        <w:t>本文件起草单位：</w:t>
      </w:r>
      <w:r>
        <w:t>湖南中医药大学第二附属医院、上海市皮肤病医院、上海中医药大学附属岳阳中西医结合医院、北京中医药大学东方医院、浙江省中医院、广东省中医院、台州市中心医院（台州学院附属医院）、重庆市中医院、宁夏回族自治区中医医院、湖南省航天医院、江西省皮肤病专科医院、长沙市第一医院、云南省中医院、福建中医药大学附属第二人民医院、中南大学湘雅医院、石家庄市中医院、沈阳市第七人民医院、江西中医药大学第二附属医院、河南中医药大学第一附属医院、中国中医科学院西苑医院、江苏省中医院、长沙市第四医院（长沙市中西医结合医院）、成都中医药大学附属医院、陕西省中医医院、黑龙江中医药大学附属第一医院、武汉市第一医院（武汉市中西医结合医院）、首都医科大学附属北京中医医院、天津市中医药研究院附属医院、长沙市中医医院（长沙市第八医院）、上海市第七人民医院、海南省人民医院。</w:t>
      </w:r>
    </w:p>
    <w:p w14:paraId="3FC3B80F">
      <w:pPr>
        <w:pStyle w:val="58"/>
        <w:ind w:firstLine="420"/>
      </w:pPr>
      <w:r>
        <w:rPr>
          <w:rFonts w:hint="eastAsia"/>
        </w:rPr>
        <w:t>本文件主要起草人：汪海珍、李斌、杨志波、</w:t>
      </w:r>
      <w:r>
        <w:t>王瑞平、李欣、蔡玲玲、曹毅、陈达灿、陈晋广、刁庆春、段逸群、高如宏、高贵云、龚娟、胡凤鸣、黄敖、黄虹、黄宁、匡叶红、李红毅、李领娥、李铁男、李元文、刘巧、刘学伟、宋坪、谭城、王畅、王静伟、吴志强、肖敏、肖月园、闫小宁、杨素清、叶建洲、曾碧君、曾宪玉、张苍、张丰川、张理涛、张源、张伟明、翟晓翔、周小勇、朱武</w:t>
      </w:r>
      <w:r>
        <w:rPr>
          <w:rFonts w:hint="eastAsia"/>
        </w:rPr>
        <w:t>、周蓉、颜蓓。</w:t>
      </w:r>
    </w:p>
    <w:p w14:paraId="5278EC91">
      <w:pPr>
        <w:pStyle w:val="58"/>
        <w:ind w:firstLine="420"/>
      </w:pPr>
    </w:p>
    <w:p w14:paraId="04185DB5">
      <w:pPr>
        <w:pStyle w:val="58"/>
        <w:ind w:firstLine="420"/>
        <w:sectPr>
          <w:pgSz w:w="11906" w:h="16838"/>
          <w:pgMar w:top="1928" w:right="1134" w:bottom="1134" w:left="1134" w:header="1418" w:footer="1134" w:gutter="284"/>
          <w:pgNumType w:fmt="upperRoman"/>
          <w:cols w:space="425" w:num="1"/>
          <w:formProt w:val="0"/>
          <w:docGrid w:linePitch="312" w:charSpace="0"/>
        </w:sectPr>
      </w:pPr>
    </w:p>
    <w:bookmarkEnd w:id="23"/>
    <w:p w14:paraId="35CF92DD">
      <w:pPr>
        <w:pStyle w:val="91"/>
        <w:spacing w:after="360"/>
      </w:pPr>
      <w:bookmarkStart w:id="24" w:name="_Toc237299213"/>
      <w:r>
        <w:rPr>
          <w:spacing w:val="320"/>
        </w:rPr>
        <w:t>引</w:t>
      </w:r>
      <w:r>
        <w:t>言</w:t>
      </w:r>
      <w:bookmarkEnd w:id="24"/>
    </w:p>
    <w:p w14:paraId="77420545">
      <w:pPr>
        <w:pStyle w:val="58"/>
        <w:spacing w:before="120" w:beforeLines="50" w:after="120" w:afterLines="50"/>
        <w:ind w:firstLine="420"/>
        <w:rPr>
          <w:rFonts w:ascii="黑体" w:hAnsi="黑体" w:eastAsia="黑体"/>
        </w:rPr>
      </w:pPr>
      <w:r>
        <w:t>银屑病是一种慢性、复发性、免疫介导性炎症性皮肤病。轻中度寻常型银屑病病程迁延、易于反复，临床可采用外用药物、中医药内外治及生活调护等综合干预，但在证候辨识、治疗选择、疗效评价和长期管理等方面仍需进一步规范。</w:t>
      </w:r>
    </w:p>
    <w:p w14:paraId="3AD111DE">
      <w:pPr>
        <w:pStyle w:val="58"/>
        <w:ind w:firstLine="420"/>
      </w:pPr>
      <w:r>
        <w:t>本文件结合轻中度寻常型银屑病的中医诊疗特点，对疾病界定、证候辨识、中医药治疗、疗效评价及长期管理等内容进行规范，为临床诊疗提供参考。</w:t>
      </w:r>
    </w:p>
    <w:p w14:paraId="01A73769">
      <w:pPr>
        <w:pStyle w:val="58"/>
        <w:ind w:firstLine="420"/>
        <w:sectPr>
          <w:pgSz w:w="11906" w:h="16838"/>
          <w:pgMar w:top="1928" w:right="1134" w:bottom="1134" w:left="1134" w:header="1418" w:footer="1134" w:gutter="284"/>
          <w:pgNumType w:fmt="upperRoman"/>
          <w:cols w:space="425" w:num="1"/>
          <w:formProt w:val="0"/>
          <w:docGrid w:linePitch="312" w:charSpace="0"/>
        </w:sectPr>
      </w:pPr>
    </w:p>
    <w:sdt>
      <w:sdtPr>
        <w:tag w:val="NEW_STAND_NAME"/>
        <w:id w:val="595910757"/>
        <w:lock w:val="sdtLocked"/>
        <w:placeholder>
          <w:docPart w:val="C0003D6D8C73487FBA655384287B0EAD"/>
        </w:placeholder>
      </w:sdtPr>
      <w:sdtContent>
        <w:p w14:paraId="07056EBF">
          <w:pPr>
            <w:pStyle w:val="179"/>
            <w:spacing w:before="2" w:beforeLines="1" w:after="2" w:afterLines="1"/>
          </w:pPr>
          <w:bookmarkStart w:id="25" w:name="NEW_STAND_NAME"/>
          <w:r>
            <w:rPr>
              <w:rFonts w:hint="eastAsia"/>
            </w:rPr>
            <w:t>轻中度寻常型银屑病（白疕）</w:t>
          </w:r>
        </w:p>
        <w:p w14:paraId="76764052">
          <w:pPr>
            <w:pStyle w:val="179"/>
            <w:spacing w:before="2" w:beforeLines="1" w:after="680"/>
          </w:pPr>
          <w:r>
            <w:rPr>
              <w:rFonts w:hint="eastAsia"/>
            </w:rPr>
            <w:t>中医规范化诊疗指南</w:t>
          </w:r>
        </w:p>
      </w:sdtContent>
    </w:sdt>
    <w:bookmarkEnd w:id="25"/>
    <w:p w14:paraId="318E7234">
      <w:pPr>
        <w:pStyle w:val="106"/>
        <w:spacing w:before="240" w:after="240"/>
      </w:pPr>
      <w:bookmarkStart w:id="26" w:name="_Toc26648465"/>
      <w:bookmarkStart w:id="27" w:name="_Toc24884211"/>
      <w:bookmarkStart w:id="28" w:name="_Toc26986771"/>
      <w:bookmarkStart w:id="29" w:name="_Toc17233333"/>
      <w:bookmarkStart w:id="30" w:name="_Toc26986530"/>
      <w:bookmarkStart w:id="31" w:name="_Toc26718930"/>
      <w:bookmarkStart w:id="32" w:name="_Toc17233325"/>
      <w:bookmarkStart w:id="33" w:name="_Toc24884218"/>
      <w:bookmarkStart w:id="34" w:name="_Toc97192964"/>
      <w:bookmarkStart w:id="35" w:name="_Toc237299214"/>
      <w:r>
        <w:rPr>
          <w:rFonts w:hint="eastAsia"/>
        </w:rPr>
        <w:t>范围</w:t>
      </w:r>
      <w:bookmarkEnd w:id="26"/>
      <w:bookmarkEnd w:id="27"/>
      <w:bookmarkEnd w:id="28"/>
      <w:bookmarkEnd w:id="29"/>
      <w:bookmarkEnd w:id="30"/>
      <w:bookmarkEnd w:id="31"/>
      <w:bookmarkEnd w:id="32"/>
      <w:bookmarkEnd w:id="33"/>
      <w:bookmarkEnd w:id="34"/>
      <w:bookmarkEnd w:id="35"/>
    </w:p>
    <w:p w14:paraId="40C0000B">
      <w:pPr>
        <w:pStyle w:val="58"/>
        <w:ind w:firstLine="420"/>
      </w:pPr>
      <w:bookmarkStart w:id="36" w:name="_Toc17233334"/>
      <w:bookmarkStart w:id="37" w:name="_Toc26648466"/>
      <w:bookmarkStart w:id="38" w:name="_Toc24884219"/>
      <w:bookmarkStart w:id="39" w:name="_Toc17233326"/>
      <w:bookmarkStart w:id="40" w:name="_Toc24884212"/>
      <w:r>
        <w:rPr>
          <w:rFonts w:hint="eastAsia"/>
        </w:rPr>
        <w:t>本文件规定了轻中度寻常型银屑病（白疕）的术语和定义、诊断、临床评估、中医辨证治疗、疗效评价以及护理与自我管理要求。</w:t>
      </w:r>
    </w:p>
    <w:p w14:paraId="20CE86F5">
      <w:pPr>
        <w:pStyle w:val="58"/>
        <w:ind w:firstLine="420"/>
      </w:pPr>
      <w:r>
        <w:rPr>
          <w:rFonts w:hint="eastAsia"/>
        </w:rPr>
        <w:t>本文件适用于各级医疗机构皮肤科、全科及中医相关专业人员，重点供中医医院和中西医结合医院临床诊疗参考，也可用于医疗管理、科研和教学。</w:t>
      </w:r>
    </w:p>
    <w:p w14:paraId="2E1C1A21">
      <w:pPr>
        <w:pStyle w:val="106"/>
        <w:spacing w:before="240" w:after="240"/>
      </w:pPr>
      <w:bookmarkStart w:id="41" w:name="_Toc237299215"/>
      <w:bookmarkStart w:id="42" w:name="_Toc26986772"/>
      <w:bookmarkStart w:id="43" w:name="_Toc26986531"/>
      <w:bookmarkStart w:id="44" w:name="_Toc97192965"/>
      <w:bookmarkStart w:id="45" w:name="_Toc26718931"/>
      <w:r>
        <w:rPr>
          <w:rFonts w:hint="eastAsia"/>
        </w:rPr>
        <w:t>规范性引用文件</w:t>
      </w:r>
      <w:bookmarkEnd w:id="36"/>
      <w:bookmarkEnd w:id="37"/>
      <w:bookmarkEnd w:id="38"/>
      <w:bookmarkEnd w:id="39"/>
      <w:bookmarkEnd w:id="40"/>
      <w:bookmarkEnd w:id="41"/>
      <w:bookmarkEnd w:id="42"/>
      <w:bookmarkEnd w:id="43"/>
      <w:bookmarkEnd w:id="44"/>
      <w:bookmarkEnd w:id="45"/>
    </w:p>
    <w:p w14:paraId="07233584">
      <w:pPr>
        <w:pStyle w:val="58"/>
        <w:ind w:firstLine="420"/>
      </w:pPr>
      <w:r>
        <w:t>本文件没有规范性引用文件。</w:t>
      </w:r>
    </w:p>
    <w:p w14:paraId="6CC8AE0A">
      <w:pPr>
        <w:pStyle w:val="106"/>
        <w:spacing w:before="240" w:after="240"/>
      </w:pPr>
      <w:bookmarkStart w:id="46" w:name="_Toc237299216"/>
      <w:bookmarkStart w:id="47" w:name="_Toc97192966"/>
      <w:r>
        <w:rPr>
          <w:rFonts w:hint="eastAsia"/>
          <w:szCs w:val="21"/>
        </w:rPr>
        <w:t>术语和定义</w:t>
      </w:r>
      <w:bookmarkEnd w:id="46"/>
      <w:bookmarkEnd w:id="47"/>
    </w:p>
    <w:sdt>
      <w:sdtPr>
        <w:id w:val="-1"/>
        <w:placeholder>
          <w:docPart w:val="4BF86846C2AD48DFB875BF1978B186B9"/>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69C9B276">
          <w:pPr>
            <w:pStyle w:val="58"/>
            <w:ind w:firstLine="420"/>
          </w:pPr>
          <w:bookmarkStart w:id="48" w:name="_Toc26986532"/>
          <w:bookmarkEnd w:id="48"/>
          <w:r>
            <w:t>下列术语和定义适用于本文件。</w:t>
          </w:r>
        </w:p>
      </w:sdtContent>
    </w:sdt>
    <w:p w14:paraId="79D04A61">
      <w:pPr>
        <w:pStyle w:val="225"/>
        <w:ind w:left="420" w:hanging="420" w:hangingChars="200"/>
        <w:rPr>
          <w:rFonts w:ascii="黑体" w:hAnsi="黑体" w:eastAsia="黑体"/>
        </w:rPr>
      </w:pPr>
      <w:r>
        <w:rPr>
          <w:rFonts w:ascii="黑体" w:hAnsi="黑体" w:eastAsia="黑体"/>
        </w:rPr>
        <w:br w:type="textWrapping"/>
      </w:r>
      <w:r>
        <w:rPr>
          <w:rFonts w:hint="eastAsia" w:ascii="黑体" w:hAnsi="黑体" w:eastAsia="黑体"/>
        </w:rPr>
        <w:t>寻常型银屑病</w:t>
      </w:r>
    </w:p>
    <w:p w14:paraId="46C2728F">
      <w:pPr>
        <w:pStyle w:val="58"/>
        <w:ind w:firstLine="420"/>
      </w:pPr>
      <w:r>
        <w:t>寻常型银屑病是银屑病最常见的临床类型，主要表现为边界清楚的红斑或斑块，表面覆多层银白色鳞屑，刮除鳞屑可见蜡滴现象、薄膜现象及点状出血，并伴不同程度瘙痒。其发生与遗传易感、免疫炎症异常、角质形成细胞过度增殖及环境因素等有关，属慢性、复发性、免疫介导性炎症性皮肤病，部分患者可合并代谢异常、心血管疾病或关节受累。中医称之为“白疕”，多由禀赋不耐、外邪侵袭、情志或饮食失调，致营卫失和、血热内蕴，日久伤阴耗血、瘀阻肌肤而发，临床以血热、血燥、血瘀为主要证候类型。</w:t>
      </w:r>
    </w:p>
    <w:p w14:paraId="2CB1B397">
      <w:pPr>
        <w:pStyle w:val="225"/>
        <w:ind w:left="420" w:hanging="420" w:hangingChars="200"/>
        <w:rPr>
          <w:rFonts w:ascii="黑体" w:hAnsi="黑体" w:eastAsia="黑体"/>
        </w:rPr>
      </w:pPr>
      <w:r>
        <w:rPr>
          <w:rFonts w:ascii="黑体" w:hAnsi="黑体" w:eastAsia="黑体"/>
        </w:rPr>
        <w:br w:type="textWrapping"/>
      </w:r>
      <w:r>
        <w:rPr>
          <w:rFonts w:hint="eastAsia" w:ascii="黑体" w:hAnsi="黑体" w:eastAsia="黑体"/>
        </w:rPr>
        <w:t>轻中度寻常型银屑病</w:t>
      </w:r>
    </w:p>
    <w:p w14:paraId="384360F4">
      <w:pPr>
        <w:pStyle w:val="58"/>
        <w:ind w:firstLine="420"/>
      </w:pPr>
      <w:r>
        <w:rPr>
          <w:rFonts w:hint="eastAsia"/>
        </w:rPr>
        <w:t>本指南所称“轻中度寻常型银屑病”，通常指符合寻常型银屑病诊断，且BSA＜10%、PASI＜10、DLQI＜10，同时无红皮病型、泛发性脓疱型、明确银屑病关节炎、特殊部位严重受累、生活质量显著受损或规范外用治疗控制不佳等需升级治疗的情况。</w:t>
      </w:r>
    </w:p>
    <w:p w14:paraId="0BEB33DB">
      <w:pPr>
        <w:pStyle w:val="106"/>
        <w:spacing w:before="240" w:after="240"/>
      </w:pPr>
      <w:bookmarkStart w:id="49" w:name="_Toc237299217"/>
      <w:r>
        <w:rPr>
          <w:rFonts w:hint="eastAsia"/>
        </w:rPr>
        <w:t>诊断</w:t>
      </w:r>
      <w:bookmarkEnd w:id="49"/>
    </w:p>
    <w:p w14:paraId="59310969">
      <w:pPr>
        <w:pStyle w:val="107"/>
        <w:spacing w:before="120" w:after="120"/>
      </w:pPr>
      <w:bookmarkStart w:id="50" w:name="_Toc237299218"/>
      <w:r>
        <w:rPr>
          <w:rFonts w:hint="eastAsia"/>
        </w:rPr>
        <w:t>疾病诊断标准</w:t>
      </w:r>
      <w:bookmarkEnd w:id="50"/>
    </w:p>
    <w:p w14:paraId="4942EB78">
      <w:pPr>
        <w:pStyle w:val="167"/>
      </w:pPr>
      <w:r>
        <w:t>典型皮损为炎性红色丘疹，逐渐扩大或融合为边界清楚的棕红色斑块，基底浸润，表面覆多层银白色鳞屑。轻刮皮损表面鳞屑可呈蜡滴现象，继续刮除鳞屑可见淡红色发亮薄膜，再刮可出现点状出血；进行期可见同形反应。陈旧皮损可呈钱币状、盘状或地图状。</w:t>
      </w:r>
    </w:p>
    <w:p w14:paraId="27502AC5">
      <w:pPr>
        <w:pStyle w:val="167"/>
      </w:pPr>
      <w:r>
        <w:rPr>
          <w:rFonts w:hint="eastAsia"/>
        </w:rPr>
        <w:t>好发于头皮及四肢伸侧，以肘部多见，也可泛发全身。病程慢性、易复发，常呈冬重夏轻的季节性特点。</w:t>
      </w:r>
    </w:p>
    <w:p w14:paraId="498588AE">
      <w:pPr>
        <w:pStyle w:val="167"/>
      </w:pPr>
      <w:r>
        <w:rPr>
          <w:rFonts w:hint="eastAsia"/>
        </w:rPr>
        <w:t>部分患者可伴甲损害，表现为点状凹陷、甲板增厚或失去光泽；头皮受累时可见束状发，少数可累及口腔或生殖器黏膜。</w:t>
      </w:r>
    </w:p>
    <w:p w14:paraId="22D94F22">
      <w:pPr>
        <w:pStyle w:val="167"/>
      </w:pPr>
      <w:r>
        <w:rPr>
          <w:rFonts w:hint="eastAsia"/>
        </w:rPr>
        <w:t>部分患者有家族史。</w:t>
      </w:r>
    </w:p>
    <w:p w14:paraId="05BD8F9D">
      <w:pPr>
        <w:pStyle w:val="167"/>
      </w:pPr>
      <w:r>
        <w:rPr>
          <w:rFonts w:hint="eastAsia"/>
        </w:rPr>
        <w:t>临床表现不典型或需鉴别诊断时，可结合皮肤镜或组织病理检查。</w:t>
      </w:r>
    </w:p>
    <w:p w14:paraId="543B3FB8">
      <w:pPr>
        <w:pStyle w:val="107"/>
        <w:spacing w:before="120" w:after="120"/>
      </w:pPr>
      <w:bookmarkStart w:id="51" w:name="_Toc237299219"/>
      <w:r>
        <w:rPr>
          <w:rFonts w:hint="eastAsia"/>
        </w:rPr>
        <w:t>严重程度分级标准</w:t>
      </w:r>
      <w:bookmarkEnd w:id="51"/>
    </w:p>
    <w:p w14:paraId="00084CD7">
      <w:pPr>
        <w:pStyle w:val="167"/>
      </w:pPr>
      <w:r>
        <w:t>银屑病严重程度应综合评估皮损范围与严重程度、特殊部位受累、关节症状及生活质量影响。常用工具包括银屑病面积与严重程度指数（PASI）、医师整体评估（PGA）、患者整体评估、体表受累面积（BSA）及皮肤病生活质量指数（DLQI）等。PASI用于评价头颈部、上肢、躯干和下肢皮损面积及红斑、浸润或厚度、鳞屑程度，总分0～72分；BSA用于估算皮损面积占全身体表面积的比例，患者单个手掌（含手指掌侧）面积约为1% BSA；DLQI用于评价疾病对生活质量的影响，总分0～30分，分值越高提示影响越明显。</w:t>
      </w:r>
    </w:p>
    <w:p w14:paraId="59788329">
      <w:pPr>
        <w:pStyle w:val="167"/>
      </w:pPr>
      <w:r>
        <w:t>参照《中国银屑病诊疗指南（2023版）》，可结合“三分法”和“二分法”进行分层管理。三分法中，轻度一般为BSA＜3%、PASI＜3且DLQI＜6；中度一般为BSA 3%～＜10%、PASI 3～＜10且DLQI 6～＜10；重度通常为BSA≥10%、PASI≥10或DLQI≥10。各指标分级不一致时，以较高等级为准。二分法主要用于治疗决策：BSA≤10%，且无特殊部位严重受累、银屑病关节炎或生活质量显著受损者，可按轻度或局限性银屑病管理；BSA＞10%，或虽BSA≤10%但存在头面部、手足、甲、生殖器等特殊部位严重受累、规范外用治疗控制不佳或生活质量明显受损者，应评估光疗或系统治疗的必要性。</w:t>
      </w:r>
    </w:p>
    <w:p w14:paraId="7F4C986E">
      <w:pPr>
        <w:pStyle w:val="107"/>
        <w:spacing w:before="120" w:after="120"/>
      </w:pPr>
      <w:bookmarkStart w:id="52" w:name="_Toc237299220"/>
      <w:r>
        <w:rPr>
          <w:rFonts w:hint="eastAsia"/>
        </w:rPr>
        <w:t>证候诊断标准</w:t>
      </w:r>
      <w:bookmarkEnd w:id="52"/>
    </w:p>
    <w:p w14:paraId="3880A7F3">
      <w:pPr>
        <w:pStyle w:val="67"/>
        <w:spacing w:before="120" w:after="120"/>
      </w:pPr>
      <w:r>
        <w:t>血热证</w:t>
      </w:r>
    </w:p>
    <w:p w14:paraId="3AB7F603">
      <w:pPr>
        <w:pStyle w:val="166"/>
      </w:pPr>
      <w:r>
        <w:rPr>
          <w:rFonts w:hint="eastAsia"/>
        </w:rPr>
        <w:t>主症：①新发皮疹不断增多或迅速扩大；②皮损潮红。</w:t>
      </w:r>
    </w:p>
    <w:p w14:paraId="3E6597AC">
      <w:pPr>
        <w:pStyle w:val="166"/>
      </w:pPr>
      <w:r>
        <w:rPr>
          <w:rFonts w:hint="eastAsia"/>
        </w:rPr>
        <w:t>次症：①舌红或绛，苔薄黄；②脉弦滑或数；③小便黄。</w:t>
      </w:r>
    </w:p>
    <w:p w14:paraId="5A787F5E">
      <w:pPr>
        <w:pStyle w:val="67"/>
        <w:spacing w:before="120" w:after="120"/>
      </w:pPr>
      <w:r>
        <w:t>血燥证</w:t>
      </w:r>
    </w:p>
    <w:p w14:paraId="5BBB29D7">
      <w:pPr>
        <w:pStyle w:val="166"/>
      </w:pPr>
      <w:r>
        <w:rPr>
          <w:rFonts w:hint="eastAsia"/>
        </w:rPr>
        <w:t>主症：①原有皮损部分消退；②皮损淡红。</w:t>
      </w:r>
    </w:p>
    <w:p w14:paraId="3640FE23">
      <w:pPr>
        <w:pStyle w:val="166"/>
      </w:pPr>
      <w:r>
        <w:rPr>
          <w:rFonts w:hint="eastAsia"/>
        </w:rPr>
        <w:t>次症：①舌淡红，苔少或薄白；②脉细或细数；③口干咽燥。</w:t>
      </w:r>
    </w:p>
    <w:p w14:paraId="7662672B">
      <w:pPr>
        <w:pStyle w:val="67"/>
        <w:spacing w:before="120" w:after="120"/>
      </w:pPr>
      <w:r>
        <w:t>血瘀证</w:t>
      </w:r>
    </w:p>
    <w:p w14:paraId="381CD063">
      <w:pPr>
        <w:pStyle w:val="166"/>
      </w:pPr>
      <w:r>
        <w:rPr>
          <w:rFonts w:hint="eastAsia"/>
        </w:rPr>
        <w:t>主症：①皮损肥厚、浸润，迁延不退；②皮损色暗红。</w:t>
      </w:r>
    </w:p>
    <w:p w14:paraId="447331DE">
      <w:pPr>
        <w:pStyle w:val="166"/>
      </w:pPr>
      <w:r>
        <w:rPr>
          <w:rFonts w:hint="eastAsia"/>
        </w:rPr>
        <w:t>次症：①舌质紫暗，或见瘀点、瘀斑；②脉涩或细缓；③女性可伴痛经。</w:t>
      </w:r>
    </w:p>
    <w:p w14:paraId="124CEB91">
      <w:pPr>
        <w:pStyle w:val="107"/>
        <w:spacing w:before="120" w:after="120"/>
      </w:pPr>
      <w:bookmarkStart w:id="53" w:name="_Toc237299221"/>
      <w:r>
        <w:rPr>
          <w:rFonts w:hint="eastAsia"/>
        </w:rPr>
        <w:t>辅助检查</w:t>
      </w:r>
      <w:bookmarkEnd w:id="53"/>
    </w:p>
    <w:p w14:paraId="2BF5CBF4">
      <w:pPr>
        <w:pStyle w:val="58"/>
        <w:ind w:firstLine="420"/>
      </w:pPr>
      <w:r>
        <w:rPr>
          <w:rFonts w:hint="eastAsia"/>
        </w:rPr>
        <w:t>轻中度寻常型银屑病主要依据病史、典型皮损及PASI、BSA、DLQI等进行诊断和分级，辅助检查不作为常规必查项目，也不能替代临床评估。其主要用于鉴别不典型皮损、评估感染及代谢异常等诱发或共病因素，以及系统治疗或长期用药前后的安全性监测。</w:t>
      </w:r>
    </w:p>
    <w:p w14:paraId="0F9E24EA">
      <w:pPr>
        <w:pStyle w:val="167"/>
      </w:pPr>
      <w:r>
        <w:t>皮肤镜检查：可作为无创辅助诊断手段，适用于早期、轻症或表现不典型者，尤其用于与湿疹、脂溢性皮炎、体癣、玫瑰糠疹等鉴别。典型表现为红色背景上均匀分布的点状或小球状血管，可伴白色鳞屑，部分皮损可见环状或发卡样血管。</w:t>
      </w:r>
    </w:p>
    <w:p w14:paraId="40FACD3F">
      <w:pPr>
        <w:pStyle w:val="167"/>
      </w:pPr>
      <w:r>
        <w:t>组织病理检查：典型病例一般无需常规活检。临床表现不典型、诊断不明确，或需与慢性湿疹、扁平苔藓、玫瑰糠疹、二期梅毒、蕈样肉芽肿及皮肤真菌病等鉴别时，可行组织病理检查。典型改变包括角化过度及角化不全、颗粒层减少或消失、棘层增厚、表皮突延长，角质层或角质层下可见Munro微脓肿，并伴真皮乳头水肿及毛细血管扩张等。</w:t>
      </w:r>
    </w:p>
    <w:p w14:paraId="70A0B21D">
      <w:pPr>
        <w:pStyle w:val="167"/>
      </w:pPr>
      <w:r>
        <w:rPr>
          <w:rFonts w:hint="eastAsia"/>
        </w:rPr>
        <w:t>血常规、肝肾功能、电解质、红细胞沉降率或C反应蛋白、血脂及血糖等不能用于确诊或严重程度分级，应根据临床需要选择。疑有感染诱发或病情急性加重者，可检测血常规及炎症指标；存在肥胖、高血压、血脂或糖代谢异常风险者，可完善相关代谢检查；拟使用口服中药、中成药、免疫调节药物或长期治疗者，可检测血常规、肝肾功能等，作为用药前基线及安全性监测。伴关节疼痛、晨僵、肿胀或明显甲损害者，应评估银屑病关节炎，必要时行风湿免疫相关检查或影像学检查。</w:t>
      </w:r>
    </w:p>
    <w:p w14:paraId="5FDE06A2">
      <w:pPr>
        <w:pStyle w:val="106"/>
        <w:spacing w:before="240" w:after="240"/>
      </w:pPr>
      <w:bookmarkStart w:id="54" w:name="_Toc237299222"/>
      <w:r>
        <w:rPr>
          <w:rFonts w:hint="eastAsia"/>
        </w:rPr>
        <w:t>临床评估</w:t>
      </w:r>
      <w:bookmarkEnd w:id="54"/>
    </w:p>
    <w:p w14:paraId="63B157AE">
      <w:pPr>
        <w:pStyle w:val="107"/>
        <w:spacing w:before="120" w:after="120"/>
      </w:pPr>
      <w:bookmarkStart w:id="55" w:name="_Toc237299223"/>
      <w:r>
        <w:rPr>
          <w:rFonts w:hint="eastAsia"/>
        </w:rPr>
        <w:t>概述</w:t>
      </w:r>
      <w:bookmarkEnd w:id="55"/>
    </w:p>
    <w:p w14:paraId="257D9E75">
      <w:pPr>
        <w:pStyle w:val="58"/>
        <w:ind w:firstLine="420"/>
      </w:pPr>
      <w:r>
        <w:rPr>
          <w:rFonts w:hint="eastAsia"/>
        </w:rPr>
        <w:t>轻中度寻常型银屑病临床评估应在明确疾病诊断和严重程度的基础上，综合考虑皮损分布、特殊部位受累、关节症状、生活质量、诱发因素及共病情况，为治疗方案选择和随访管理提供依据。</w:t>
      </w:r>
    </w:p>
    <w:p w14:paraId="5F34A5B9">
      <w:pPr>
        <w:pStyle w:val="107"/>
        <w:spacing w:before="120" w:after="120"/>
      </w:pPr>
      <w:bookmarkStart w:id="56" w:name="_Toc237299224"/>
      <w:bookmarkEnd w:id="56"/>
      <w:r>
        <w:t>皮损、病期及生活质量评估</w:t>
      </w:r>
    </w:p>
    <w:p w14:paraId="01C6A565">
      <w:pPr>
        <w:pStyle w:val="58"/>
        <w:ind w:firstLine="420"/>
      </w:pPr>
      <w:r>
        <w:t>临床评估时应记录皮损部位、范围、红斑、浸润或厚度、鳞屑及瘙痒等情况，并结合PASI、BSA、DLQI等工具进行量化记录。同时应记录疾病病期，可结合皮损变化分为进行期、静止期和消退期：进行期以新发皮损持续出现、原有皮损扩大或出现同形反应为主要特点；静止期以新发皮损减少或停止、原有皮损相对稳定为主要特点；消退期以皮损逐渐变薄、颜色转淡及鳞屑减少为主要表现。病期评估可作为辨证及治疗方式选择的参考，不宜与血热、血燥、血瘀三类证候作机械对应。</w:t>
      </w:r>
    </w:p>
    <w:p w14:paraId="3CC3B87B">
      <w:pPr>
        <w:pStyle w:val="107"/>
        <w:spacing w:before="120" w:after="120"/>
      </w:pPr>
      <w:bookmarkStart w:id="57" w:name="_Toc237299225"/>
      <w:r>
        <w:rPr>
          <w:rFonts w:hint="eastAsia"/>
        </w:rPr>
        <w:t>特殊部位、关节及共病评估</w:t>
      </w:r>
      <w:bookmarkEnd w:id="57"/>
    </w:p>
    <w:p w14:paraId="3B8927A5">
      <w:pPr>
        <w:pStyle w:val="167"/>
      </w:pPr>
      <w:r>
        <w:rPr>
          <w:rFonts w:hint="eastAsia"/>
        </w:rPr>
        <w:t>应单独记录头皮、面部、掌跖、甲及生殖器等特殊部位受累情况，包括皮损范围、严重程度、疼痛或瘙痒、功能影响及既往治疗反应。特殊部位受累明显时，即使总体BSA或PASI较低，也应结合生活质量和治疗难度重新评估疾病分层。</w:t>
      </w:r>
    </w:p>
    <w:p w14:paraId="17C2B112">
      <w:pPr>
        <w:pStyle w:val="167"/>
      </w:pPr>
      <w:r>
        <w:rPr>
          <w:rFonts w:hint="eastAsia"/>
        </w:rPr>
        <w:t>应主动询问关节疼痛、晨僵、肿胀、指（趾）炎及肌腱附着点疼痛等症状。存在相关表现、明显甲损害或其他银屑病关节炎高风险特征时，应进一步进行风湿免疫专科评估，必要时完善实验室或影像学检查。</w:t>
      </w:r>
    </w:p>
    <w:p w14:paraId="230FC7FF">
      <w:pPr>
        <w:pStyle w:val="167"/>
      </w:pPr>
      <w:r>
        <w:rPr>
          <w:rFonts w:hint="eastAsia"/>
        </w:rPr>
        <w:t>应评估肥胖、高血压、血脂异常、糖代谢异常、吸烟、睡眠障碍及焦虑抑郁等共病或相关风险因素。实验室检查应根据临床需要选择；拟长期用药或存在安全性风险者，按4.4的要求完成基线及随访监测。</w:t>
      </w:r>
    </w:p>
    <w:p w14:paraId="2F784DEA">
      <w:pPr>
        <w:pStyle w:val="106"/>
        <w:spacing w:before="240" w:after="240"/>
      </w:pPr>
      <w:bookmarkStart w:id="58" w:name="_Toc237299226"/>
      <w:r>
        <w:rPr>
          <w:rFonts w:hint="eastAsia"/>
        </w:rPr>
        <w:t>治疗</w:t>
      </w:r>
      <w:bookmarkEnd w:id="58"/>
    </w:p>
    <w:p w14:paraId="3551E067">
      <w:pPr>
        <w:pStyle w:val="107"/>
        <w:spacing w:before="120" w:after="120"/>
      </w:pPr>
      <w:bookmarkStart w:id="59" w:name="_Toc237299227"/>
      <w:r>
        <w:rPr>
          <w:rFonts w:hint="eastAsia"/>
        </w:rPr>
        <w:t>治疗原则</w:t>
      </w:r>
      <w:bookmarkEnd w:id="59"/>
    </w:p>
    <w:p w14:paraId="211A9374">
      <w:pPr>
        <w:pStyle w:val="58"/>
        <w:ind w:firstLine="420"/>
      </w:pPr>
      <w:r>
        <w:t>轻中度寻常型银屑病应根据疾病严重程度、病期、证候特点、皮损部位、患者意愿及既往治疗反应进行个体化治疗。中医治疗强调辨证论治，并可结合中成药、中医外治及基础护理。</w:t>
      </w:r>
    </w:p>
    <w:p w14:paraId="1397A049">
      <w:pPr>
        <w:pStyle w:val="107"/>
        <w:spacing w:before="120" w:after="120"/>
      </w:pPr>
      <w:bookmarkStart w:id="60" w:name="_Toc237299228"/>
      <w:r>
        <w:rPr>
          <w:rFonts w:hint="eastAsia"/>
        </w:rPr>
        <w:t>血热证</w:t>
      </w:r>
      <w:bookmarkEnd w:id="60"/>
    </w:p>
    <w:p w14:paraId="3AECCD83">
      <w:pPr>
        <w:pStyle w:val="167"/>
      </w:pPr>
      <w:r>
        <w:t>证候：皮疹发展迅速，新发皮损不断增多或迅速扩大，颜色鲜红，鳞屑较多，瘙痒明显，搔抓后可见点状出血。可伴口干咽燥、咽喉肿痛或乳蛾、心烦易怒、大便干结、小便黄赤。舌质红或绛，苔薄黄，脉弦滑或数。 外感诱发或咽喉不适明显者，可兼见风热表现，宜结合主证随证加减。</w:t>
      </w:r>
    </w:p>
    <w:p w14:paraId="2994EEE3">
      <w:pPr>
        <w:pStyle w:val="167"/>
      </w:pPr>
      <w:r>
        <w:rPr>
          <w:rFonts w:hint="eastAsia"/>
        </w:rPr>
        <w:t>治法：清热凉血解毒。</w:t>
      </w:r>
    </w:p>
    <w:p w14:paraId="519D3B34">
      <w:pPr>
        <w:pStyle w:val="167"/>
      </w:pPr>
      <w:r>
        <w:t>推荐方药：血热证可选用犀角地黄汤加减、凉血化斑汤加味、凉血消银汤或竹黄颗粒剂。常用药物包括水牛角、牡丹皮、生地黄、赤芍、紫草、白鲜皮等。咽喉肿痛者可加板蓝根、玄参；感冒诱发者可加金银花、连翘；大便秘结者可加生大黄。</w:t>
      </w:r>
    </w:p>
    <w:p w14:paraId="17F51156">
      <w:pPr>
        <w:pStyle w:val="167"/>
      </w:pPr>
      <w:r>
        <w:t>推荐中成药：可根据证候及皮损特点选用复方青黛类制剂，包括复方青黛胶囊、复方青黛丸和复方青黛片；消银类制剂，包括消银颗粒、消银胶囊和消银片；或银屑灵类制剂。临床应用应结合病情、证候及药品说明书，并注意胃肠道反应及血常规、肝功能变化。</w:t>
      </w:r>
    </w:p>
    <w:p w14:paraId="2FA6C2BF">
      <w:pPr>
        <w:pStyle w:val="167"/>
      </w:pPr>
      <w:r>
        <w:t>推荐中医外治疗法：中药涂擦：局限性皮损或内治基础上，可外用普连膏，每日2次。中药湿敷：局部红斑、瘙痒或炎症较明显者，可用加味三黄洗剂原液湿敷，温度约37～39 ℃，每次15～20 min，每日2次。三棱针点刺：可选耳尖、大椎、陶道、肝俞、脾俞等穴，每次选1～2穴；斑块状皮损可选局部阿是穴点刺。</w:t>
      </w:r>
    </w:p>
    <w:p w14:paraId="2B89DD33">
      <w:pPr>
        <w:pStyle w:val="107"/>
        <w:spacing w:before="120" w:after="120"/>
      </w:pPr>
      <w:bookmarkStart w:id="61" w:name="_Toc237299229"/>
      <w:r>
        <w:rPr>
          <w:rFonts w:hint="eastAsia"/>
        </w:rPr>
        <w:t>血燥证</w:t>
      </w:r>
      <w:bookmarkEnd w:id="61"/>
    </w:p>
    <w:p w14:paraId="62F7AFC3">
      <w:pPr>
        <w:pStyle w:val="167"/>
      </w:pPr>
      <w:r>
        <w:rPr>
          <w:rFonts w:hint="eastAsia"/>
        </w:rPr>
        <w:t>证候：皮损多呈斑片状，颜色淡红，鳞屑减少，皮肤干燥或皲裂，自觉瘙痒，可伴口咽干燥。舌质淡红，苔少或薄白，脉细或细数。</w:t>
      </w:r>
    </w:p>
    <w:p w14:paraId="531EBB8F">
      <w:pPr>
        <w:pStyle w:val="167"/>
      </w:pPr>
      <w:r>
        <w:rPr>
          <w:rFonts w:hint="eastAsia"/>
        </w:rPr>
        <w:t>治法：养血润燥解毒。</w:t>
      </w:r>
    </w:p>
    <w:p w14:paraId="5D0E301E">
      <w:pPr>
        <w:pStyle w:val="167"/>
      </w:pPr>
      <w:r>
        <w:t>推荐方药：可选用当归饮子加减治疗血燥证寻常型银屑病。常用药物包括当归、白芍、川芎、生地黄、蒺藜、防风、荆芥、首乌藤、甘草、南沙参、玄参、鸡血藤、土茯苓等。兼肝郁者可加郁金、柴胡；兼脾虚者可加白术、山药、茯苓。</w:t>
      </w:r>
    </w:p>
    <w:p w14:paraId="0458E092">
      <w:pPr>
        <w:pStyle w:val="167"/>
      </w:pPr>
      <w:r>
        <w:t>推荐中成药：可选用润燥止痒胶囊；也可根据皮损特点选用消银类制剂，包括消银颗粒、消银胶囊和消银片，必要时可联合窄谱中波紫外线治疗。</w:t>
      </w:r>
    </w:p>
    <w:p w14:paraId="60ABE334">
      <w:pPr>
        <w:pStyle w:val="167"/>
      </w:pPr>
      <w:r>
        <w:t>推荐中医外治疗法：火针疗法：取阿是穴点刺。常规消毒后将针尖烧至红白，迅速浅刺、轻刺皮损，刺点间距约0.2～0.3 cm，刺后24 h内避免沾水，局部以碘伏消毒。每周1次，5次为1个疗程。临床应严格掌握适应证、禁忌证及无菌操作规范，不宜用于进行期明显红肿、破溃、渗出、感染或高敏状态皮损；糖尿病、凝血功能异常、瘢痕体质及免疫功能低下者应慎用，必要时经专科评估后实施。中药熏洗或药浴：可采用三黄洗剂局部熏洗或药浴，温度37～39 ℃，每次20 min，每日1次，必要时可联合卡泊三醇软膏外用。润肤保湿：可在中药内治或外治基础上配合润肤剂，以减轻干燥、脱屑和瘙痒，维护皮肤屏障。润肤剂属于基础护理措施，不单独作为中医外治推荐。</w:t>
      </w:r>
    </w:p>
    <w:p w14:paraId="3D383B80">
      <w:pPr>
        <w:pStyle w:val="107"/>
        <w:spacing w:before="120" w:after="120"/>
      </w:pPr>
      <w:bookmarkStart w:id="62" w:name="_Toc237299230"/>
      <w:r>
        <w:rPr>
          <w:rFonts w:hint="eastAsia"/>
        </w:rPr>
        <w:t>血瘀证</w:t>
      </w:r>
      <w:bookmarkEnd w:id="62"/>
    </w:p>
    <w:p w14:paraId="314F6FC6">
      <w:pPr>
        <w:pStyle w:val="167"/>
      </w:pPr>
      <w:r>
        <w:rPr>
          <w:rFonts w:hint="eastAsia"/>
        </w:rPr>
        <w:t>证候：皮损多呈斑块状，鳞屑较厚，颜色暗红。女性可伴经色暗或夹血块。舌质紫暗，或见瘀点、瘀斑，脉涩或细缓。</w:t>
      </w:r>
    </w:p>
    <w:p w14:paraId="4F7FC357">
      <w:pPr>
        <w:pStyle w:val="167"/>
      </w:pPr>
      <w:r>
        <w:rPr>
          <w:rFonts w:hint="eastAsia"/>
        </w:rPr>
        <w:t>治法：活血化瘀解毒。</w:t>
      </w:r>
    </w:p>
    <w:p w14:paraId="7375B439">
      <w:pPr>
        <w:pStyle w:val="167"/>
      </w:pPr>
      <w:r>
        <w:t>推荐方药：可选用桃红四物汤加减治疗血瘀证寻常型银屑病。常用药物包括桃仁、红花、当归、赤芍、生地黄、川芎、鸡血藤、丹参、白花蛇舌草等。病程日久、反复不愈者，可加土茯苓、白花蛇舌草；皮损肥厚、颜色暗者，可加三棱、莪术；经色暗或经前加重者，可加益母草、泽兰。</w:t>
      </w:r>
    </w:p>
    <w:p w14:paraId="058FE3D3">
      <w:pPr>
        <w:pStyle w:val="167"/>
      </w:pPr>
      <w:r>
        <w:t>推荐中成药：可选用银屑灵类制剂，也可在辨证基础上与桃红四物汤等内服方联合应用。</w:t>
      </w:r>
    </w:p>
    <w:p w14:paraId="7C23C587">
      <w:pPr>
        <w:pStyle w:val="167"/>
      </w:pPr>
      <w:r>
        <w:t>推荐中医外治疗法：火针疗法：取阿是穴或局部斑块围刺，每周1次，5次为1个疗程；可根据皮损情况联合普连膏、黛黄膏等外用，或与NB-UVB联合应用。临床应严格掌握适应证、禁忌证及操作规范，不宜用于进行期明显红肿、破溃、渗出、感染或高敏状态皮损；糖尿病、凝血功能异常、瘢痕体质及免疫功能低下者应慎用，必要时经专科评估后实施。刺络拔罐疗法：取皮损处或相关背俞穴，常规消毒后点刺放血并拔罐，留罐约5 min，每3日1次或每周1次，适用于稳定期、斑块肥厚或血瘀证明显者。该疗法可作为辅助治疗，临床应严格执行无菌操作，并控制放血量和治疗频次。艾灸疗法：主穴取阿是穴；皮损浸润肥厚者可加足三里、血海、气海，皮损色红者可加三阴交、血海、曲池。可采用温和灸、回旋灸或雀啄灸。施灸时应根据患者耐受程度逐步调整火力和灸量；空腹、过饱、极度疲劳或对灸法明显恐惧者慎用，孕妇腹部及腰骶部禁灸，并注意防止烫伤及火灾。</w:t>
      </w:r>
    </w:p>
    <w:p w14:paraId="035DCEDF">
      <w:pPr>
        <w:pStyle w:val="107"/>
        <w:spacing w:before="120" w:after="120"/>
      </w:pPr>
      <w:bookmarkStart w:id="63" w:name="_Toc237299231"/>
      <w:r>
        <w:rPr>
          <w:rFonts w:hint="eastAsia"/>
        </w:rPr>
        <w:t>调护与基础治疗</w:t>
      </w:r>
      <w:bookmarkEnd w:id="63"/>
    </w:p>
    <w:p w14:paraId="40D5FA2F">
      <w:pPr>
        <w:pStyle w:val="58"/>
        <w:ind w:firstLine="420"/>
      </w:pPr>
      <w:r>
        <w:rPr>
          <w:rFonts w:hint="eastAsia"/>
        </w:rPr>
        <w:t>调护与基础治疗应贯穿诊疗全过程，具体内容见第8章。</w:t>
      </w:r>
    </w:p>
    <w:p w14:paraId="6BEBA740">
      <w:pPr>
        <w:pStyle w:val="107"/>
        <w:spacing w:before="120" w:after="120"/>
      </w:pPr>
      <w:bookmarkStart w:id="64" w:name="_Toc237299232"/>
      <w:bookmarkEnd w:id="64"/>
      <w:r>
        <w:t>治疗方案及应用参考</w:t>
      </w:r>
    </w:p>
    <w:p w14:paraId="4A7C3BB5">
      <w:pPr>
        <w:pStyle w:val="114"/>
        <w:spacing w:before="120" w:after="120"/>
      </w:pPr>
      <w:r>
        <w:t>治疗方案及应用参考</w:t>
      </w:r>
    </w:p>
    <w:tbl>
      <w:tblPr>
        <w:tblStyle w:val="28"/>
        <w:tblW w:w="9286" w:type="dxa"/>
        <w:tblInd w:w="120" w:type="dxa"/>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Layout w:type="fixed"/>
        <w:tblCellMar>
          <w:top w:w="0" w:type="dxa"/>
          <w:left w:w="108" w:type="dxa"/>
          <w:bottom w:w="0" w:type="dxa"/>
          <w:right w:w="108" w:type="dxa"/>
        </w:tblCellMar>
      </w:tblPr>
      <w:tblGrid>
        <w:gridCol w:w="1587"/>
        <w:gridCol w:w="4478"/>
        <w:gridCol w:w="3221"/>
      </w:tblGrid>
      <w:tr w14:paraId="05C3D466">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tblHeader/>
        </w:trPr>
        <w:tc>
          <w:tcPr>
            <w:tcW w:w="1587" w:type="dxa"/>
            <w:shd w:val="clear" w:color="auto" w:fill="D9D9D9"/>
            <w:tcMar>
              <w:top w:w="85" w:type="dxa"/>
              <w:left w:w="100" w:type="dxa"/>
              <w:bottom w:w="85" w:type="dxa"/>
              <w:right w:w="100" w:type="dxa"/>
            </w:tcMar>
            <w:vAlign w:val="center"/>
          </w:tcPr>
          <w:p w14:paraId="1B0B7988">
            <w:pPr>
              <w:spacing w:line="300" w:lineRule="exact"/>
              <w:jc w:val="center"/>
              <w:rPr>
                <w:rFonts w:ascii="宋体" w:hAnsi="宋体" w:cs="宋体"/>
              </w:rPr>
            </w:pPr>
            <w:r>
              <w:rPr>
                <w:rFonts w:hint="eastAsia" w:ascii="宋体" w:hAnsi="宋体" w:cs="宋体"/>
                <w:b/>
                <w:sz w:val="17"/>
              </w:rPr>
              <w:t>治疗方案</w:t>
            </w:r>
          </w:p>
        </w:tc>
        <w:tc>
          <w:tcPr>
            <w:tcW w:w="4478" w:type="dxa"/>
            <w:shd w:val="clear" w:color="auto" w:fill="D9D9D9"/>
            <w:tcMar>
              <w:top w:w="85" w:type="dxa"/>
              <w:left w:w="100" w:type="dxa"/>
              <w:bottom w:w="85" w:type="dxa"/>
              <w:right w:w="100" w:type="dxa"/>
            </w:tcMar>
            <w:vAlign w:val="center"/>
          </w:tcPr>
          <w:p w14:paraId="224203AA">
            <w:r>
              <w:t>适用情况/基本用法</w:t>
            </w:r>
          </w:p>
        </w:tc>
        <w:tc>
          <w:tcPr>
            <w:tcW w:w="3221" w:type="dxa"/>
            <w:shd w:val="clear" w:color="auto" w:fill="D9D9D9"/>
            <w:tcMar>
              <w:top w:w="85" w:type="dxa"/>
              <w:left w:w="100" w:type="dxa"/>
              <w:bottom w:w="85" w:type="dxa"/>
              <w:right w:w="100" w:type="dxa"/>
            </w:tcMar>
            <w:vAlign w:val="center"/>
          </w:tcPr>
          <w:p w14:paraId="59935F82">
            <w:pPr>
              <w:spacing w:line="300" w:lineRule="exact"/>
              <w:jc w:val="center"/>
              <w:rPr>
                <w:rFonts w:ascii="宋体" w:hAnsi="宋体" w:cs="宋体"/>
              </w:rPr>
            </w:pPr>
            <w:r>
              <w:rPr>
                <w:rFonts w:hint="eastAsia" w:ascii="宋体" w:hAnsi="宋体" w:cs="宋体"/>
                <w:b/>
                <w:sz w:val="17"/>
              </w:rPr>
              <w:t>治疗周期/疗程</w:t>
            </w:r>
          </w:p>
        </w:tc>
      </w:tr>
      <w:tr w14:paraId="61527A9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c>
          <w:tcPr>
            <w:tcW w:w="9286" w:type="dxa"/>
            <w:gridSpan w:val="3"/>
            <w:shd w:val="clear" w:color="auto" w:fill="F2F2F2"/>
            <w:tcMar>
              <w:top w:w="100" w:type="dxa"/>
              <w:left w:w="120" w:type="dxa"/>
              <w:bottom w:w="100" w:type="dxa"/>
              <w:right w:w="120" w:type="dxa"/>
            </w:tcMar>
          </w:tcPr>
          <w:p w14:paraId="44B7FC2F">
            <w:pPr>
              <w:jc w:val="left"/>
              <w:rPr>
                <w:rFonts w:ascii="宋体" w:hAnsi="宋体" w:cs="宋体"/>
              </w:rPr>
            </w:pPr>
            <w:r>
              <w:rPr>
                <w:rFonts w:hint="eastAsia" w:ascii="宋体" w:hAnsi="宋体" w:cs="宋体"/>
                <w:b/>
                <w:color w:val="000000"/>
                <w:sz w:val="19"/>
              </w:rPr>
              <w:t>内服方药</w:t>
            </w:r>
          </w:p>
        </w:tc>
      </w:tr>
      <w:tr w14:paraId="195D2A6A">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trPr>
        <w:tc>
          <w:tcPr>
            <w:tcW w:w="1587" w:type="dxa"/>
            <w:tcMar>
              <w:top w:w="85" w:type="dxa"/>
              <w:left w:w="100" w:type="dxa"/>
              <w:bottom w:w="85" w:type="dxa"/>
              <w:right w:w="100" w:type="dxa"/>
            </w:tcMar>
            <w:vAlign w:val="center"/>
          </w:tcPr>
          <w:p w14:paraId="343561FF">
            <w:pPr>
              <w:spacing w:line="300" w:lineRule="exact"/>
              <w:jc w:val="center"/>
              <w:rPr>
                <w:rFonts w:ascii="宋体" w:hAnsi="宋体" w:cs="宋体"/>
              </w:rPr>
            </w:pPr>
            <w:r>
              <w:rPr>
                <w:rFonts w:hint="eastAsia" w:ascii="宋体" w:hAnsi="宋体" w:cs="宋体"/>
                <w:color w:val="000000"/>
                <w:sz w:val="17"/>
              </w:rPr>
              <w:t>犀角地黄汤加减</w:t>
            </w:r>
          </w:p>
        </w:tc>
        <w:tc>
          <w:tcPr>
            <w:tcW w:w="4478" w:type="dxa"/>
            <w:tcMar>
              <w:top w:w="85" w:type="dxa"/>
              <w:left w:w="100" w:type="dxa"/>
              <w:bottom w:w="85" w:type="dxa"/>
              <w:right w:w="100" w:type="dxa"/>
            </w:tcMar>
            <w:vAlign w:val="center"/>
          </w:tcPr>
          <w:p w14:paraId="7EFD527E">
            <w:pPr>
              <w:spacing w:line="300" w:lineRule="exact"/>
              <w:jc w:val="left"/>
              <w:rPr>
                <w:rFonts w:ascii="宋体" w:hAnsi="宋体" w:cs="宋体"/>
              </w:rPr>
            </w:pPr>
            <w:r>
              <w:rPr>
                <w:rFonts w:hint="eastAsia" w:ascii="宋体" w:hAnsi="宋体" w:cs="宋体"/>
                <w:color w:val="000000"/>
                <w:sz w:val="17"/>
              </w:rPr>
              <w:t>水牛角30 g（先煎）、生地黄24 g、赤芍/芍药12 g、牡丹皮9 g，水煎服，每日1剂，分2～3次温服。</w:t>
            </w:r>
          </w:p>
        </w:tc>
        <w:tc>
          <w:tcPr>
            <w:tcW w:w="3221" w:type="dxa"/>
            <w:tcMar>
              <w:top w:w="85" w:type="dxa"/>
              <w:left w:w="100" w:type="dxa"/>
              <w:bottom w:w="85" w:type="dxa"/>
              <w:right w:w="100" w:type="dxa"/>
            </w:tcMar>
            <w:vAlign w:val="center"/>
          </w:tcPr>
          <w:p w14:paraId="5752AA54">
            <w:pPr>
              <w:spacing w:line="300" w:lineRule="exact"/>
              <w:jc w:val="center"/>
              <w:rPr>
                <w:rFonts w:ascii="宋体" w:hAnsi="宋体" w:cs="宋体"/>
              </w:rPr>
            </w:pPr>
            <w:r>
              <w:rPr>
                <w:rFonts w:hint="eastAsia" w:ascii="宋体" w:hAnsi="宋体" w:cs="宋体"/>
                <w:color w:val="000000"/>
                <w:sz w:val="17"/>
              </w:rPr>
              <w:t>建议2～4周复评证候，4～8周评估疗效。</w:t>
            </w:r>
          </w:p>
        </w:tc>
      </w:tr>
      <w:tr w14:paraId="16F3DAE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trPr>
        <w:tc>
          <w:tcPr>
            <w:tcW w:w="1587" w:type="dxa"/>
            <w:tcMar>
              <w:top w:w="85" w:type="dxa"/>
              <w:left w:w="100" w:type="dxa"/>
              <w:bottom w:w="85" w:type="dxa"/>
              <w:right w:w="100" w:type="dxa"/>
            </w:tcMar>
            <w:vAlign w:val="center"/>
          </w:tcPr>
          <w:p w14:paraId="2630EC71">
            <w:pPr>
              <w:spacing w:line="300" w:lineRule="exact"/>
              <w:jc w:val="center"/>
              <w:rPr>
                <w:rFonts w:ascii="宋体" w:hAnsi="宋体" w:cs="宋体"/>
              </w:rPr>
            </w:pPr>
            <w:r>
              <w:rPr>
                <w:rFonts w:hint="eastAsia" w:ascii="宋体" w:hAnsi="宋体" w:cs="宋体"/>
                <w:color w:val="000000"/>
                <w:sz w:val="17"/>
              </w:rPr>
              <w:t>凉血化斑汤</w:t>
            </w:r>
          </w:p>
        </w:tc>
        <w:tc>
          <w:tcPr>
            <w:tcW w:w="4478" w:type="dxa"/>
            <w:tcMar>
              <w:top w:w="85" w:type="dxa"/>
              <w:left w:w="100" w:type="dxa"/>
              <w:bottom w:w="85" w:type="dxa"/>
              <w:right w:w="100" w:type="dxa"/>
            </w:tcMar>
            <w:vAlign w:val="center"/>
          </w:tcPr>
          <w:p w14:paraId="3DEB6CEA">
            <w:pPr>
              <w:spacing w:line="300" w:lineRule="exact"/>
              <w:jc w:val="left"/>
              <w:rPr>
                <w:rFonts w:ascii="宋体" w:hAnsi="宋体" w:cs="宋体"/>
              </w:rPr>
            </w:pPr>
            <w:r>
              <w:rPr>
                <w:rFonts w:hint="eastAsia" w:ascii="宋体" w:hAnsi="宋体" w:cs="宋体"/>
                <w:color w:val="000000"/>
                <w:sz w:val="17"/>
              </w:rPr>
              <w:t>水牛角粉30 g（先煎）、板蓝根20～30 g、蚤休30 g、白花蛇舌草30 g、牡丹皮15 g、生地黄30 g、赤芍20 g、白鲜皮30 g、苦参10 g、土茯苓30 g、全蝎6 g、僵蚕12 g；水煎服，每日1剂，日服2次。</w:t>
            </w:r>
          </w:p>
        </w:tc>
        <w:tc>
          <w:tcPr>
            <w:tcW w:w="3221" w:type="dxa"/>
            <w:tcMar>
              <w:top w:w="85" w:type="dxa"/>
              <w:left w:w="100" w:type="dxa"/>
              <w:bottom w:w="85" w:type="dxa"/>
              <w:right w:w="100" w:type="dxa"/>
            </w:tcMar>
            <w:vAlign w:val="center"/>
          </w:tcPr>
          <w:p w14:paraId="0BBE19E3">
            <w:pPr>
              <w:spacing w:line="300" w:lineRule="exact"/>
              <w:jc w:val="center"/>
              <w:rPr>
                <w:rFonts w:ascii="宋体" w:hAnsi="宋体" w:cs="宋体"/>
              </w:rPr>
            </w:pPr>
            <w:r>
              <w:rPr>
                <w:rFonts w:hint="eastAsia" w:ascii="宋体" w:hAnsi="宋体" w:cs="宋体"/>
                <w:color w:val="000000"/>
                <w:sz w:val="17"/>
              </w:rPr>
              <w:t>建议4～8周评估。</w:t>
            </w:r>
          </w:p>
        </w:tc>
      </w:tr>
      <w:tr w14:paraId="74501115">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trPr>
        <w:tc>
          <w:tcPr>
            <w:tcW w:w="1587" w:type="dxa"/>
            <w:tcMar>
              <w:top w:w="85" w:type="dxa"/>
              <w:left w:w="100" w:type="dxa"/>
              <w:bottom w:w="85" w:type="dxa"/>
              <w:right w:w="100" w:type="dxa"/>
            </w:tcMar>
            <w:vAlign w:val="center"/>
          </w:tcPr>
          <w:p w14:paraId="2420B32C">
            <w:pPr>
              <w:spacing w:line="300" w:lineRule="exact"/>
              <w:jc w:val="center"/>
              <w:rPr>
                <w:rFonts w:ascii="宋体" w:hAnsi="宋体" w:cs="宋体"/>
              </w:rPr>
            </w:pPr>
            <w:r>
              <w:rPr>
                <w:rFonts w:hint="eastAsia" w:ascii="宋体" w:hAnsi="宋体" w:cs="宋体"/>
                <w:color w:val="000000"/>
                <w:sz w:val="17"/>
              </w:rPr>
              <w:t>凉血消银汤</w:t>
            </w:r>
          </w:p>
        </w:tc>
        <w:tc>
          <w:tcPr>
            <w:tcW w:w="4478" w:type="dxa"/>
            <w:tcMar>
              <w:top w:w="85" w:type="dxa"/>
              <w:left w:w="100" w:type="dxa"/>
              <w:bottom w:w="85" w:type="dxa"/>
              <w:right w:w="100" w:type="dxa"/>
            </w:tcMar>
            <w:vAlign w:val="center"/>
          </w:tcPr>
          <w:p w14:paraId="158652C3">
            <w:pPr>
              <w:spacing w:line="300" w:lineRule="exact"/>
              <w:jc w:val="left"/>
              <w:rPr>
                <w:rFonts w:ascii="宋体" w:hAnsi="宋体" w:cs="宋体"/>
              </w:rPr>
            </w:pPr>
            <w:r>
              <w:rPr>
                <w:rFonts w:hint="eastAsia" w:ascii="宋体" w:hAnsi="宋体" w:cs="宋体"/>
                <w:color w:val="000000"/>
                <w:sz w:val="17"/>
              </w:rPr>
              <w:t>水牛角、牡丹皮、黄芩、白芍、槐花、生地黄、天花粉、大青叶、紫草、山豆根、苦参、板蓝根各15 g，栀子、生甘草各6 g，白花蛇舌草30 g；药物浸泡4h后煎至约250 mL，每日1剂，分早晚2次服用。</w:t>
            </w:r>
          </w:p>
        </w:tc>
        <w:tc>
          <w:tcPr>
            <w:tcW w:w="3221" w:type="dxa"/>
            <w:tcMar>
              <w:top w:w="85" w:type="dxa"/>
              <w:left w:w="100" w:type="dxa"/>
              <w:bottom w:w="85" w:type="dxa"/>
              <w:right w:w="100" w:type="dxa"/>
            </w:tcMar>
            <w:vAlign w:val="center"/>
          </w:tcPr>
          <w:p w14:paraId="5D21CA05">
            <w:pPr>
              <w:spacing w:line="300" w:lineRule="exact"/>
              <w:jc w:val="center"/>
              <w:rPr>
                <w:rFonts w:ascii="宋体" w:hAnsi="宋体" w:cs="宋体"/>
              </w:rPr>
            </w:pPr>
            <w:r>
              <w:rPr>
                <w:rFonts w:hint="eastAsia" w:ascii="宋体" w:hAnsi="宋体" w:cs="宋体"/>
                <w:color w:val="000000"/>
                <w:sz w:val="17"/>
              </w:rPr>
              <w:t>建议4～8周评估。</w:t>
            </w:r>
          </w:p>
        </w:tc>
      </w:tr>
      <w:tr w14:paraId="3491F68A">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trPr>
        <w:tc>
          <w:tcPr>
            <w:tcW w:w="1587" w:type="dxa"/>
            <w:tcMar>
              <w:top w:w="85" w:type="dxa"/>
              <w:left w:w="100" w:type="dxa"/>
              <w:bottom w:w="85" w:type="dxa"/>
              <w:right w:w="100" w:type="dxa"/>
            </w:tcMar>
            <w:vAlign w:val="center"/>
          </w:tcPr>
          <w:p w14:paraId="3EAC48B7">
            <w:pPr>
              <w:spacing w:line="300" w:lineRule="exact"/>
              <w:jc w:val="center"/>
              <w:rPr>
                <w:rFonts w:ascii="宋体" w:hAnsi="宋体" w:cs="宋体"/>
              </w:rPr>
            </w:pPr>
            <w:r>
              <w:rPr>
                <w:rFonts w:hint="eastAsia" w:ascii="宋体" w:hAnsi="宋体" w:cs="宋体"/>
                <w:color w:val="000000"/>
                <w:sz w:val="17"/>
              </w:rPr>
              <w:t>当归饮子加减</w:t>
            </w:r>
          </w:p>
        </w:tc>
        <w:tc>
          <w:tcPr>
            <w:tcW w:w="4478" w:type="dxa"/>
            <w:tcMar>
              <w:top w:w="85" w:type="dxa"/>
              <w:left w:w="100" w:type="dxa"/>
              <w:bottom w:w="85" w:type="dxa"/>
              <w:right w:w="100" w:type="dxa"/>
            </w:tcMar>
            <w:vAlign w:val="center"/>
          </w:tcPr>
          <w:p w14:paraId="726E7882">
            <w:pPr>
              <w:spacing w:line="300" w:lineRule="exact"/>
              <w:jc w:val="left"/>
              <w:rPr>
                <w:rFonts w:ascii="宋体" w:hAnsi="宋体" w:cs="宋体"/>
              </w:rPr>
            </w:pPr>
            <w:r>
              <w:rPr>
                <w:rFonts w:hint="eastAsia" w:ascii="宋体" w:hAnsi="宋体" w:cs="宋体"/>
                <w:color w:val="000000"/>
                <w:sz w:val="17"/>
              </w:rPr>
              <w:t>当归12 g、防风12 g、川芎9 g、荆芥9 g、白芍15 g、白蒺藜15 g、何首乌15 g、生地黄25 g、生甘草6 g；水煎服，每日1剂，可复渣再煎，分次温服。</w:t>
            </w:r>
          </w:p>
        </w:tc>
        <w:tc>
          <w:tcPr>
            <w:tcW w:w="3221" w:type="dxa"/>
            <w:tcMar>
              <w:top w:w="85" w:type="dxa"/>
              <w:left w:w="100" w:type="dxa"/>
              <w:bottom w:w="85" w:type="dxa"/>
              <w:right w:w="100" w:type="dxa"/>
            </w:tcMar>
            <w:vAlign w:val="center"/>
          </w:tcPr>
          <w:p w14:paraId="1311FFE0">
            <w:pPr>
              <w:spacing w:line="300" w:lineRule="exact"/>
              <w:jc w:val="center"/>
              <w:rPr>
                <w:rFonts w:ascii="宋体" w:hAnsi="宋体" w:cs="宋体"/>
              </w:rPr>
            </w:pPr>
            <w:r>
              <w:rPr>
                <w:rFonts w:hint="eastAsia" w:ascii="宋体" w:hAnsi="宋体" w:cs="宋体"/>
                <w:color w:val="000000"/>
                <w:sz w:val="17"/>
              </w:rPr>
              <w:t>建议2～4周复评证候，4～8周评估疗效。</w:t>
            </w:r>
          </w:p>
        </w:tc>
      </w:tr>
      <w:tr w14:paraId="2B20320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trPr>
        <w:tc>
          <w:tcPr>
            <w:tcW w:w="1587" w:type="dxa"/>
            <w:tcMar>
              <w:top w:w="85" w:type="dxa"/>
              <w:left w:w="100" w:type="dxa"/>
              <w:bottom w:w="85" w:type="dxa"/>
              <w:right w:w="100" w:type="dxa"/>
            </w:tcMar>
            <w:vAlign w:val="center"/>
          </w:tcPr>
          <w:p w14:paraId="5EABCE85">
            <w:pPr>
              <w:spacing w:line="300" w:lineRule="exact"/>
              <w:jc w:val="center"/>
              <w:rPr>
                <w:rFonts w:ascii="宋体" w:hAnsi="宋体" w:cs="宋体"/>
              </w:rPr>
            </w:pPr>
            <w:r>
              <w:rPr>
                <w:rFonts w:hint="eastAsia" w:ascii="宋体" w:hAnsi="宋体" w:cs="宋体"/>
                <w:color w:val="000000"/>
                <w:sz w:val="17"/>
              </w:rPr>
              <w:t>桃红四物汤加减</w:t>
            </w:r>
          </w:p>
        </w:tc>
        <w:tc>
          <w:tcPr>
            <w:tcW w:w="4478" w:type="dxa"/>
            <w:tcMar>
              <w:top w:w="85" w:type="dxa"/>
              <w:left w:w="100" w:type="dxa"/>
              <w:bottom w:w="85" w:type="dxa"/>
              <w:right w:w="100" w:type="dxa"/>
            </w:tcMar>
            <w:vAlign w:val="center"/>
          </w:tcPr>
          <w:p w14:paraId="001E9B9D">
            <w:pPr>
              <w:spacing w:line="300" w:lineRule="exact"/>
              <w:jc w:val="left"/>
              <w:rPr>
                <w:rFonts w:ascii="宋体" w:hAnsi="宋体" w:cs="宋体"/>
              </w:rPr>
            </w:pPr>
            <w:r>
              <w:rPr>
                <w:rFonts w:hint="eastAsia" w:ascii="宋体" w:hAnsi="宋体" w:cs="宋体"/>
                <w:color w:val="000000"/>
                <w:sz w:val="17"/>
              </w:rPr>
              <w:t>桃仁9 g、红花6 g、当归9 g、白芍9 g、熟地黄9 g、川芎9 g；水煎服，每日1剂，分2次温服。银屑病血瘀明显者可随证加丹参、鸡血藤、白花蛇舌草、土茯苓等。</w:t>
            </w:r>
          </w:p>
        </w:tc>
        <w:tc>
          <w:tcPr>
            <w:tcW w:w="3221" w:type="dxa"/>
            <w:tcMar>
              <w:top w:w="85" w:type="dxa"/>
              <w:left w:w="100" w:type="dxa"/>
              <w:bottom w:w="85" w:type="dxa"/>
              <w:right w:w="100" w:type="dxa"/>
            </w:tcMar>
            <w:vAlign w:val="center"/>
          </w:tcPr>
          <w:p w14:paraId="31447A9A">
            <w:pPr>
              <w:spacing w:line="300" w:lineRule="exact"/>
              <w:jc w:val="center"/>
              <w:rPr>
                <w:rFonts w:ascii="宋体" w:hAnsi="宋体" w:cs="宋体"/>
              </w:rPr>
            </w:pPr>
            <w:r>
              <w:rPr>
                <w:rFonts w:hint="eastAsia" w:ascii="宋体" w:hAnsi="宋体" w:cs="宋体"/>
                <w:color w:val="000000"/>
                <w:sz w:val="17"/>
              </w:rPr>
              <w:t>建议4～8周评估。</w:t>
            </w:r>
          </w:p>
        </w:tc>
      </w:tr>
      <w:tr w14:paraId="3A939BD5">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trPr>
        <w:tc>
          <w:tcPr>
            <w:tcW w:w="1587" w:type="dxa"/>
            <w:tcMar>
              <w:top w:w="85" w:type="dxa"/>
              <w:left w:w="100" w:type="dxa"/>
              <w:bottom w:w="85" w:type="dxa"/>
              <w:right w:w="100" w:type="dxa"/>
            </w:tcMar>
            <w:vAlign w:val="center"/>
          </w:tcPr>
          <w:p w14:paraId="0D2AF9E1">
            <w:pPr>
              <w:spacing w:line="300" w:lineRule="exact"/>
              <w:jc w:val="center"/>
              <w:rPr>
                <w:rFonts w:ascii="宋体" w:hAnsi="宋体" w:cs="宋体"/>
              </w:rPr>
            </w:pPr>
            <w:r>
              <w:rPr>
                <w:rFonts w:hint="eastAsia" w:ascii="宋体" w:hAnsi="宋体" w:cs="宋体"/>
                <w:color w:val="000000"/>
                <w:sz w:val="17"/>
              </w:rPr>
              <w:t>竹黄颗粒剂</w:t>
            </w:r>
          </w:p>
        </w:tc>
        <w:tc>
          <w:tcPr>
            <w:tcW w:w="4478" w:type="dxa"/>
            <w:tcMar>
              <w:top w:w="85" w:type="dxa"/>
              <w:left w:w="100" w:type="dxa"/>
              <w:bottom w:w="85" w:type="dxa"/>
              <w:right w:w="100" w:type="dxa"/>
            </w:tcMar>
            <w:vAlign w:val="center"/>
          </w:tcPr>
          <w:p w14:paraId="44C0D1FA">
            <w:pPr>
              <w:spacing w:line="300" w:lineRule="exact"/>
              <w:jc w:val="left"/>
              <w:rPr>
                <w:rFonts w:ascii="宋体" w:hAnsi="宋体" w:cs="宋体"/>
              </w:rPr>
            </w:pPr>
            <w:r>
              <w:rPr>
                <w:rFonts w:hint="eastAsia" w:ascii="宋体" w:hAnsi="宋体" w:cs="宋体"/>
                <w:color w:val="000000"/>
                <w:sz w:val="17"/>
              </w:rPr>
              <w:t>开水冲服，一次5 g，一日3次，2周为1个疗程。</w:t>
            </w:r>
          </w:p>
        </w:tc>
        <w:tc>
          <w:tcPr>
            <w:tcW w:w="3221" w:type="dxa"/>
            <w:tcMar>
              <w:top w:w="85" w:type="dxa"/>
              <w:left w:w="100" w:type="dxa"/>
              <w:bottom w:w="85" w:type="dxa"/>
              <w:right w:w="100" w:type="dxa"/>
            </w:tcMar>
            <w:vAlign w:val="center"/>
          </w:tcPr>
          <w:p w14:paraId="3444483A">
            <w:pPr>
              <w:spacing w:line="300" w:lineRule="exact"/>
              <w:jc w:val="center"/>
              <w:rPr>
                <w:rFonts w:ascii="宋体" w:hAnsi="宋体" w:cs="宋体"/>
              </w:rPr>
            </w:pPr>
            <w:r>
              <w:rPr>
                <w:rFonts w:hint="eastAsia" w:ascii="宋体" w:hAnsi="宋体" w:cs="宋体"/>
                <w:color w:val="000000"/>
                <w:sz w:val="17"/>
              </w:rPr>
              <w:t>建议4～8周阶段性评估疗效及安全性。</w:t>
            </w:r>
          </w:p>
        </w:tc>
      </w:tr>
      <w:tr w14:paraId="3B01A47E">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c>
          <w:tcPr>
            <w:tcW w:w="9286" w:type="dxa"/>
            <w:gridSpan w:val="3"/>
            <w:shd w:val="clear" w:color="auto" w:fill="F2F2F2"/>
            <w:tcMar>
              <w:top w:w="100" w:type="dxa"/>
              <w:left w:w="120" w:type="dxa"/>
              <w:bottom w:w="100" w:type="dxa"/>
              <w:right w:w="120" w:type="dxa"/>
            </w:tcMar>
          </w:tcPr>
          <w:p w14:paraId="4BCE0E26">
            <w:pPr>
              <w:jc w:val="left"/>
              <w:rPr>
                <w:rFonts w:ascii="宋体" w:hAnsi="宋体" w:cs="宋体"/>
              </w:rPr>
            </w:pPr>
            <w:r>
              <w:rPr>
                <w:rFonts w:hint="eastAsia" w:ascii="宋体" w:hAnsi="宋体" w:cs="宋体"/>
                <w:b/>
                <w:color w:val="000000"/>
                <w:sz w:val="19"/>
              </w:rPr>
              <w:t>推荐中成药</w:t>
            </w:r>
          </w:p>
        </w:tc>
      </w:tr>
      <w:tr w14:paraId="6FB2A16D">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trPr>
        <w:tc>
          <w:tcPr>
            <w:tcW w:w="1587" w:type="dxa"/>
            <w:tcMar>
              <w:top w:w="85" w:type="dxa"/>
              <w:left w:w="100" w:type="dxa"/>
              <w:bottom w:w="85" w:type="dxa"/>
              <w:right w:w="100" w:type="dxa"/>
            </w:tcMar>
            <w:vAlign w:val="center"/>
          </w:tcPr>
          <w:p w14:paraId="491043B3">
            <w:pPr>
              <w:spacing w:line="300" w:lineRule="exact"/>
              <w:jc w:val="center"/>
              <w:rPr>
                <w:rFonts w:ascii="宋体" w:hAnsi="宋体" w:cs="宋体"/>
              </w:rPr>
            </w:pPr>
            <w:r>
              <w:rPr>
                <w:rFonts w:hint="eastAsia" w:ascii="宋体" w:hAnsi="宋体" w:cs="宋体"/>
                <w:color w:val="000000"/>
                <w:sz w:val="17"/>
              </w:rPr>
              <w:t>复方青黛类制剂</w:t>
            </w:r>
            <w:r>
              <w:rPr>
                <w:rFonts w:hint="eastAsia" w:ascii="宋体" w:hAnsi="宋体" w:cs="宋体"/>
                <w:color w:val="000000"/>
                <w:sz w:val="17"/>
              </w:rPr>
              <w:br w:type="textWrapping"/>
            </w:r>
            <w:r>
              <w:rPr>
                <w:rFonts w:hint="eastAsia" w:ascii="宋体" w:hAnsi="宋体" w:cs="宋体"/>
                <w:color w:val="000000"/>
                <w:sz w:val="17"/>
              </w:rPr>
              <w:t>（复方青黛胶囊/丸/片）</w:t>
            </w:r>
          </w:p>
        </w:tc>
        <w:tc>
          <w:tcPr>
            <w:tcW w:w="4478" w:type="dxa"/>
            <w:tcMar>
              <w:top w:w="85" w:type="dxa"/>
              <w:left w:w="100" w:type="dxa"/>
              <w:bottom w:w="85" w:type="dxa"/>
              <w:right w:w="100" w:type="dxa"/>
            </w:tcMar>
            <w:vAlign w:val="center"/>
          </w:tcPr>
          <w:p w14:paraId="10020046">
            <w:pPr>
              <w:spacing w:line="300" w:lineRule="exact"/>
              <w:jc w:val="left"/>
              <w:rPr>
                <w:sz w:val="17"/>
                <w:szCs w:val="17"/>
              </w:rPr>
            </w:pPr>
            <w:r>
              <w:rPr>
                <w:rFonts w:hint="eastAsia" w:ascii="宋体" w:hAnsi="宋体" w:cs="宋体"/>
                <w:color w:val="000000"/>
                <w:sz w:val="17"/>
                <w:szCs w:val="17"/>
              </w:rPr>
              <w:t>胶囊：口服，一次4粒，一日3次；常见规格为0.5 g/粒，即约2 g/次、6 g/日。</w:t>
            </w:r>
            <w:r>
              <w:rPr>
                <w:rFonts w:hint="eastAsia" w:ascii="宋体" w:hAnsi="宋体" w:cs="宋体"/>
                <w:color w:val="000000"/>
                <w:sz w:val="17"/>
                <w:szCs w:val="17"/>
              </w:rPr>
              <w:br w:type="textWrapping"/>
            </w:r>
            <w:r>
              <w:rPr>
                <w:rFonts w:hint="eastAsia" w:ascii="宋体" w:hAnsi="宋体" w:cs="宋体"/>
                <w:color w:val="000000"/>
                <w:sz w:val="17"/>
                <w:szCs w:val="17"/>
              </w:rPr>
              <w:t>丸：口服，一次1袋，6 g/袋，一日3次，即18 g/日。</w:t>
            </w:r>
            <w:r>
              <w:rPr>
                <w:rFonts w:hint="eastAsia" w:ascii="宋体" w:hAnsi="宋体" w:cs="宋体"/>
                <w:color w:val="000000"/>
                <w:sz w:val="17"/>
                <w:szCs w:val="17"/>
              </w:rPr>
              <w:br w:type="textWrapping"/>
            </w:r>
            <w:r>
              <w:rPr>
                <w:rFonts w:hint="eastAsia" w:ascii="宋体" w:hAnsi="宋体" w:cs="宋体"/>
                <w:color w:val="000000"/>
                <w:sz w:val="17"/>
                <w:szCs w:val="17"/>
              </w:rPr>
              <w:t>片：口服，一次4片，一日3次；常见规格为0.48 g/片，即约1.92 g/次、5.76 g/日。</w:t>
            </w:r>
          </w:p>
        </w:tc>
        <w:tc>
          <w:tcPr>
            <w:tcW w:w="3221" w:type="dxa"/>
            <w:tcMar>
              <w:top w:w="85" w:type="dxa"/>
              <w:left w:w="100" w:type="dxa"/>
              <w:bottom w:w="85" w:type="dxa"/>
              <w:right w:w="100" w:type="dxa"/>
            </w:tcMar>
            <w:vAlign w:val="center"/>
          </w:tcPr>
          <w:p w14:paraId="37D13387">
            <w:pPr>
              <w:spacing w:line="300" w:lineRule="exact"/>
              <w:jc w:val="center"/>
              <w:rPr>
                <w:rFonts w:ascii="宋体" w:hAnsi="宋体" w:cs="宋体"/>
              </w:rPr>
            </w:pPr>
            <w:r>
              <w:rPr>
                <w:rFonts w:hint="eastAsia" w:ascii="宋体" w:hAnsi="宋体" w:cs="宋体"/>
                <w:color w:val="000000"/>
                <w:sz w:val="17"/>
              </w:rPr>
              <w:t>建议4～8周评估，必要时监测血常规、肝功能。</w:t>
            </w:r>
          </w:p>
        </w:tc>
      </w:tr>
      <w:tr w14:paraId="359BC1AA">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trPr>
        <w:tc>
          <w:tcPr>
            <w:tcW w:w="1587" w:type="dxa"/>
            <w:tcMar>
              <w:top w:w="85" w:type="dxa"/>
              <w:left w:w="100" w:type="dxa"/>
              <w:bottom w:w="85" w:type="dxa"/>
              <w:right w:w="100" w:type="dxa"/>
            </w:tcMar>
            <w:vAlign w:val="center"/>
          </w:tcPr>
          <w:p w14:paraId="32E7B534">
            <w:pPr>
              <w:spacing w:line="300" w:lineRule="exact"/>
              <w:jc w:val="center"/>
              <w:rPr>
                <w:rFonts w:ascii="宋体" w:hAnsi="宋体" w:cs="宋体"/>
              </w:rPr>
            </w:pPr>
            <w:r>
              <w:rPr>
                <w:rFonts w:hint="eastAsia" w:ascii="宋体" w:hAnsi="宋体" w:cs="宋体"/>
                <w:color w:val="000000"/>
                <w:sz w:val="17"/>
              </w:rPr>
              <w:t>消银类制剂</w:t>
            </w:r>
            <w:r>
              <w:rPr>
                <w:rFonts w:hint="eastAsia" w:ascii="宋体" w:hAnsi="宋体" w:cs="宋体"/>
                <w:color w:val="000000"/>
                <w:sz w:val="17"/>
              </w:rPr>
              <w:br w:type="textWrapping"/>
            </w:r>
            <w:r>
              <w:rPr>
                <w:rFonts w:hint="eastAsia" w:ascii="宋体" w:hAnsi="宋体" w:cs="宋体"/>
                <w:color w:val="000000"/>
                <w:sz w:val="17"/>
              </w:rPr>
              <w:t>（消银颗粒/胶囊/片）</w:t>
            </w:r>
          </w:p>
        </w:tc>
        <w:tc>
          <w:tcPr>
            <w:tcW w:w="4478" w:type="dxa"/>
            <w:tcMar>
              <w:top w:w="85" w:type="dxa"/>
              <w:left w:w="100" w:type="dxa"/>
              <w:bottom w:w="85" w:type="dxa"/>
              <w:right w:w="100" w:type="dxa"/>
            </w:tcMar>
            <w:vAlign w:val="center"/>
          </w:tcPr>
          <w:p w14:paraId="7E1F673A">
            <w:pPr>
              <w:spacing w:line="300" w:lineRule="exact"/>
              <w:jc w:val="left"/>
              <w:rPr>
                <w:sz w:val="17"/>
                <w:szCs w:val="17"/>
              </w:rPr>
            </w:pPr>
            <w:r>
              <w:rPr>
                <w:rFonts w:hint="eastAsia" w:ascii="宋体" w:hAnsi="宋体" w:cs="宋体"/>
                <w:color w:val="000000"/>
                <w:sz w:val="17"/>
                <w:szCs w:val="17"/>
              </w:rPr>
              <w:t>颗粒：开水冲服，一次3.5 g，一日3次，1个月为1个疗程。</w:t>
            </w:r>
            <w:r>
              <w:rPr>
                <w:rFonts w:hint="eastAsia" w:ascii="宋体" w:hAnsi="宋体" w:cs="宋体"/>
                <w:color w:val="000000"/>
                <w:sz w:val="17"/>
                <w:szCs w:val="17"/>
              </w:rPr>
              <w:br w:type="textWrapping"/>
            </w:r>
            <w:r>
              <w:rPr>
                <w:rFonts w:hint="eastAsia" w:ascii="宋体" w:hAnsi="宋体" w:cs="宋体"/>
                <w:color w:val="000000"/>
                <w:sz w:val="17"/>
                <w:szCs w:val="17"/>
              </w:rPr>
              <w:t>胶囊：口服，一次5～7粒，一日3次；常见规格为0.3 g/粒，即约1.5～2.1 g/次、4.5～6.3 g/日；1个月为1个疗程。</w:t>
            </w:r>
            <w:r>
              <w:rPr>
                <w:rFonts w:hint="eastAsia" w:ascii="宋体" w:hAnsi="宋体" w:cs="宋体"/>
                <w:color w:val="000000"/>
                <w:sz w:val="17"/>
                <w:szCs w:val="17"/>
              </w:rPr>
              <w:br w:type="textWrapping"/>
            </w:r>
            <w:r>
              <w:rPr>
                <w:rFonts w:hint="eastAsia" w:ascii="宋体" w:hAnsi="宋体" w:cs="宋体"/>
                <w:color w:val="000000"/>
                <w:sz w:val="17"/>
                <w:szCs w:val="17"/>
              </w:rPr>
              <w:t>片：口服，一次5～7片，一日3次，1个月为1个疗程；常见规格为薄膜衣片0.32 g/片或糖衣片片芯0.3 g/片，约1.5～2.24 g/次。</w:t>
            </w:r>
          </w:p>
        </w:tc>
        <w:tc>
          <w:tcPr>
            <w:tcW w:w="3221" w:type="dxa"/>
            <w:tcMar>
              <w:top w:w="85" w:type="dxa"/>
              <w:left w:w="100" w:type="dxa"/>
              <w:bottom w:w="85" w:type="dxa"/>
              <w:right w:w="100" w:type="dxa"/>
            </w:tcMar>
            <w:vAlign w:val="center"/>
          </w:tcPr>
          <w:p w14:paraId="15C80606">
            <w:pPr>
              <w:spacing w:line="300" w:lineRule="exact"/>
              <w:jc w:val="center"/>
              <w:rPr>
                <w:rFonts w:ascii="宋体" w:hAnsi="宋体" w:cs="宋体"/>
              </w:rPr>
            </w:pPr>
            <w:r>
              <w:rPr>
                <w:rFonts w:hint="eastAsia" w:ascii="宋体" w:hAnsi="宋体" w:cs="宋体"/>
                <w:color w:val="000000"/>
                <w:sz w:val="17"/>
              </w:rPr>
              <w:t>建议4～8周评估。</w:t>
            </w:r>
          </w:p>
        </w:tc>
      </w:tr>
      <w:tr w14:paraId="08939957">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trPr>
        <w:tc>
          <w:tcPr>
            <w:tcW w:w="1587" w:type="dxa"/>
            <w:tcMar>
              <w:top w:w="85" w:type="dxa"/>
              <w:left w:w="100" w:type="dxa"/>
              <w:bottom w:w="85" w:type="dxa"/>
              <w:right w:w="100" w:type="dxa"/>
            </w:tcMar>
            <w:vAlign w:val="center"/>
          </w:tcPr>
          <w:p w14:paraId="3361540D">
            <w:pPr>
              <w:spacing w:line="300" w:lineRule="exact"/>
              <w:jc w:val="center"/>
              <w:rPr>
                <w:rFonts w:ascii="宋体" w:hAnsi="宋体" w:cs="宋体"/>
              </w:rPr>
            </w:pPr>
            <w:r>
              <w:rPr>
                <w:rFonts w:hint="eastAsia" w:ascii="宋体" w:hAnsi="宋体" w:cs="宋体"/>
                <w:color w:val="000000"/>
                <w:sz w:val="17"/>
              </w:rPr>
              <w:t>银屑灵类制剂</w:t>
            </w:r>
          </w:p>
        </w:tc>
        <w:tc>
          <w:tcPr>
            <w:tcW w:w="4478" w:type="dxa"/>
            <w:tcMar>
              <w:top w:w="85" w:type="dxa"/>
              <w:left w:w="100" w:type="dxa"/>
              <w:bottom w:w="85" w:type="dxa"/>
              <w:right w:w="100" w:type="dxa"/>
            </w:tcMar>
            <w:vAlign w:val="center"/>
          </w:tcPr>
          <w:p w14:paraId="37E24087">
            <w:pPr>
              <w:spacing w:line="300" w:lineRule="exact"/>
              <w:jc w:val="left"/>
              <w:rPr>
                <w:sz w:val="17"/>
                <w:szCs w:val="17"/>
              </w:rPr>
            </w:pPr>
            <w:r>
              <w:rPr>
                <w:rFonts w:hint="eastAsia" w:ascii="宋体" w:hAnsi="宋体" w:cs="宋体"/>
                <w:color w:val="000000"/>
                <w:sz w:val="17"/>
                <w:szCs w:val="17"/>
              </w:rPr>
              <w:t>开水冲服，每次1袋，一日2次，或遵医嘱；常见规格有20 g/袋，部分包装规格可能不同，应按具体厂家说明书换算。</w:t>
            </w:r>
          </w:p>
        </w:tc>
        <w:tc>
          <w:tcPr>
            <w:tcW w:w="3221" w:type="dxa"/>
            <w:tcMar>
              <w:top w:w="85" w:type="dxa"/>
              <w:left w:w="100" w:type="dxa"/>
              <w:bottom w:w="85" w:type="dxa"/>
              <w:right w:w="100" w:type="dxa"/>
            </w:tcMar>
            <w:vAlign w:val="center"/>
          </w:tcPr>
          <w:p w14:paraId="7DD251A8">
            <w:pPr>
              <w:spacing w:line="300" w:lineRule="exact"/>
              <w:jc w:val="center"/>
              <w:rPr>
                <w:rFonts w:ascii="宋体" w:hAnsi="宋体" w:cs="宋体"/>
              </w:rPr>
            </w:pPr>
            <w:r>
              <w:rPr>
                <w:rFonts w:hint="eastAsia" w:ascii="宋体" w:hAnsi="宋体" w:cs="宋体"/>
                <w:color w:val="000000"/>
                <w:sz w:val="17"/>
              </w:rPr>
              <w:t>建议4～8周评估。</w:t>
            </w:r>
          </w:p>
        </w:tc>
      </w:tr>
      <w:tr w14:paraId="3D259575">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trPr>
        <w:tc>
          <w:tcPr>
            <w:tcW w:w="1587" w:type="dxa"/>
            <w:tcMar>
              <w:top w:w="85" w:type="dxa"/>
              <w:left w:w="100" w:type="dxa"/>
              <w:bottom w:w="85" w:type="dxa"/>
              <w:right w:w="100" w:type="dxa"/>
            </w:tcMar>
            <w:vAlign w:val="center"/>
          </w:tcPr>
          <w:p w14:paraId="216E4319">
            <w:pPr>
              <w:spacing w:line="300" w:lineRule="exact"/>
              <w:jc w:val="center"/>
              <w:rPr>
                <w:rFonts w:ascii="宋体" w:hAnsi="宋体" w:cs="宋体"/>
              </w:rPr>
            </w:pPr>
            <w:r>
              <w:rPr>
                <w:rFonts w:hint="eastAsia" w:ascii="宋体" w:hAnsi="宋体" w:cs="宋体"/>
                <w:color w:val="000000"/>
                <w:sz w:val="17"/>
              </w:rPr>
              <w:t>润燥止痒胶囊</w:t>
            </w:r>
          </w:p>
        </w:tc>
        <w:tc>
          <w:tcPr>
            <w:tcW w:w="4478" w:type="dxa"/>
            <w:tcMar>
              <w:top w:w="85" w:type="dxa"/>
              <w:left w:w="100" w:type="dxa"/>
              <w:bottom w:w="85" w:type="dxa"/>
              <w:right w:w="100" w:type="dxa"/>
            </w:tcMar>
            <w:vAlign w:val="center"/>
          </w:tcPr>
          <w:p w14:paraId="1E10DB2B">
            <w:pPr>
              <w:spacing w:line="300" w:lineRule="exact"/>
              <w:jc w:val="left"/>
              <w:rPr>
                <w:sz w:val="17"/>
                <w:szCs w:val="17"/>
              </w:rPr>
            </w:pPr>
            <w:r>
              <w:rPr>
                <w:rFonts w:hint="eastAsia" w:ascii="宋体" w:hAnsi="宋体" w:cs="宋体"/>
                <w:color w:val="000000"/>
                <w:sz w:val="17"/>
                <w:szCs w:val="17"/>
              </w:rPr>
              <w:t>口服，一次4粒，一日3次，2周为1个疗程；常见规格为0.5 g/粒，即约2 g/次、6 g/日。</w:t>
            </w:r>
          </w:p>
        </w:tc>
        <w:tc>
          <w:tcPr>
            <w:tcW w:w="3221" w:type="dxa"/>
            <w:tcMar>
              <w:top w:w="85" w:type="dxa"/>
              <w:left w:w="100" w:type="dxa"/>
              <w:bottom w:w="85" w:type="dxa"/>
              <w:right w:w="100" w:type="dxa"/>
            </w:tcMar>
            <w:vAlign w:val="center"/>
          </w:tcPr>
          <w:p w14:paraId="07B4C63C">
            <w:pPr>
              <w:spacing w:line="300" w:lineRule="exact"/>
              <w:jc w:val="center"/>
              <w:rPr>
                <w:rFonts w:ascii="宋体" w:hAnsi="宋体" w:cs="宋体"/>
              </w:rPr>
            </w:pPr>
            <w:r>
              <w:rPr>
                <w:rFonts w:hint="eastAsia" w:ascii="宋体" w:hAnsi="宋体" w:cs="宋体"/>
                <w:color w:val="000000"/>
                <w:sz w:val="17"/>
              </w:rPr>
              <w:t>建议4～8周评估。</w:t>
            </w:r>
          </w:p>
        </w:tc>
      </w:tr>
      <w:tr w14:paraId="6427192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c>
          <w:tcPr>
            <w:tcW w:w="9286" w:type="dxa"/>
            <w:gridSpan w:val="3"/>
            <w:shd w:val="clear" w:color="auto" w:fill="F2F2F2"/>
            <w:tcMar>
              <w:top w:w="100" w:type="dxa"/>
              <w:left w:w="120" w:type="dxa"/>
              <w:bottom w:w="100" w:type="dxa"/>
              <w:right w:w="120" w:type="dxa"/>
            </w:tcMar>
          </w:tcPr>
          <w:p w14:paraId="65E3830B">
            <w:pPr>
              <w:jc w:val="left"/>
              <w:rPr>
                <w:rFonts w:ascii="宋体" w:hAnsi="宋体" w:cs="宋体"/>
              </w:rPr>
            </w:pPr>
            <w:r>
              <w:rPr>
                <w:rFonts w:hint="eastAsia" w:ascii="宋体" w:hAnsi="宋体" w:cs="宋体"/>
                <w:b/>
                <w:color w:val="000000"/>
                <w:sz w:val="19"/>
              </w:rPr>
              <w:t>推荐中医外治疗法</w:t>
            </w:r>
          </w:p>
        </w:tc>
      </w:tr>
      <w:tr w14:paraId="41A821D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trPr>
        <w:tc>
          <w:tcPr>
            <w:tcW w:w="1587" w:type="dxa"/>
            <w:tcMar>
              <w:top w:w="85" w:type="dxa"/>
              <w:left w:w="100" w:type="dxa"/>
              <w:bottom w:w="85" w:type="dxa"/>
              <w:right w:w="100" w:type="dxa"/>
            </w:tcMar>
            <w:vAlign w:val="center"/>
          </w:tcPr>
          <w:p w14:paraId="4AFCFD68">
            <w:pPr>
              <w:spacing w:line="300" w:lineRule="exact"/>
              <w:jc w:val="center"/>
              <w:rPr>
                <w:rFonts w:ascii="宋体" w:hAnsi="宋体" w:cs="宋体"/>
              </w:rPr>
            </w:pPr>
            <w:r>
              <w:rPr>
                <w:rFonts w:hint="eastAsia" w:ascii="宋体" w:hAnsi="宋体" w:cs="宋体"/>
                <w:color w:val="000000"/>
                <w:sz w:val="17"/>
              </w:rPr>
              <w:t>火针疗法</w:t>
            </w:r>
          </w:p>
        </w:tc>
        <w:tc>
          <w:tcPr>
            <w:tcW w:w="4478" w:type="dxa"/>
            <w:tcMar>
              <w:top w:w="85" w:type="dxa"/>
              <w:left w:w="100" w:type="dxa"/>
              <w:bottom w:w="85" w:type="dxa"/>
              <w:right w:w="100" w:type="dxa"/>
            </w:tcMar>
            <w:vAlign w:val="center"/>
          </w:tcPr>
          <w:p w14:paraId="66924B81">
            <w:pPr>
              <w:spacing w:line="300" w:lineRule="exact"/>
              <w:jc w:val="left"/>
              <w:rPr>
                <w:rFonts w:ascii="宋体" w:hAnsi="宋体" w:cs="宋体"/>
              </w:rPr>
            </w:pPr>
            <w:r>
              <w:rPr>
                <w:rFonts w:hint="eastAsia" w:ascii="宋体" w:hAnsi="宋体" w:cs="宋体"/>
                <w:color w:val="000000"/>
                <w:sz w:val="17"/>
              </w:rPr>
              <w:t>适用于血燥证、血瘀证及斑块肥厚者。选阿是穴或局部斑块围刺；常规消毒后将针尖烧至红白，迅速浅刺、轻刺皮疹部位，密度约0.2～0.3 cm，刺后24h不沾水。</w:t>
            </w:r>
          </w:p>
        </w:tc>
        <w:tc>
          <w:tcPr>
            <w:tcW w:w="3221" w:type="dxa"/>
            <w:tcMar>
              <w:top w:w="85" w:type="dxa"/>
              <w:left w:w="100" w:type="dxa"/>
              <w:bottom w:w="85" w:type="dxa"/>
              <w:right w:w="100" w:type="dxa"/>
            </w:tcMar>
            <w:vAlign w:val="center"/>
          </w:tcPr>
          <w:p w14:paraId="15679412">
            <w:pPr>
              <w:spacing w:line="300" w:lineRule="exact"/>
              <w:jc w:val="center"/>
              <w:rPr>
                <w:rFonts w:ascii="宋体" w:hAnsi="宋体" w:cs="宋体"/>
              </w:rPr>
            </w:pPr>
            <w:r>
              <w:rPr>
                <w:rFonts w:hint="eastAsia" w:ascii="宋体" w:hAnsi="宋体" w:cs="宋体"/>
                <w:color w:val="000000"/>
                <w:sz w:val="17"/>
              </w:rPr>
              <w:t>每周1次，5次为1个疗程；疗程结束后评估。</w:t>
            </w:r>
          </w:p>
        </w:tc>
      </w:tr>
      <w:tr w14:paraId="338A84BF">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trPr>
        <w:tc>
          <w:tcPr>
            <w:tcW w:w="1587" w:type="dxa"/>
            <w:tcMar>
              <w:top w:w="85" w:type="dxa"/>
              <w:left w:w="100" w:type="dxa"/>
              <w:bottom w:w="85" w:type="dxa"/>
              <w:right w:w="100" w:type="dxa"/>
            </w:tcMar>
            <w:vAlign w:val="center"/>
          </w:tcPr>
          <w:p w14:paraId="6A275B38">
            <w:pPr>
              <w:spacing w:line="300" w:lineRule="exact"/>
              <w:jc w:val="center"/>
              <w:rPr>
                <w:rFonts w:ascii="宋体" w:hAnsi="宋体" w:cs="宋体"/>
              </w:rPr>
            </w:pPr>
            <w:r>
              <w:rPr>
                <w:rFonts w:hint="eastAsia" w:ascii="宋体" w:hAnsi="宋体" w:cs="宋体"/>
                <w:color w:val="000000"/>
                <w:sz w:val="17"/>
              </w:rPr>
              <w:t>中药涂擦（普连膏等）</w:t>
            </w:r>
          </w:p>
        </w:tc>
        <w:tc>
          <w:tcPr>
            <w:tcW w:w="4478" w:type="dxa"/>
            <w:tcMar>
              <w:top w:w="85" w:type="dxa"/>
              <w:left w:w="100" w:type="dxa"/>
              <w:bottom w:w="85" w:type="dxa"/>
              <w:right w:w="100" w:type="dxa"/>
            </w:tcMar>
            <w:vAlign w:val="center"/>
          </w:tcPr>
          <w:p w14:paraId="02E367F0">
            <w:pPr>
              <w:spacing w:line="300" w:lineRule="exact"/>
              <w:jc w:val="left"/>
              <w:rPr>
                <w:rFonts w:ascii="宋体" w:hAnsi="宋体" w:cs="宋体"/>
              </w:rPr>
            </w:pPr>
            <w:r>
              <w:rPr>
                <w:rFonts w:hint="eastAsia" w:ascii="宋体" w:hAnsi="宋体" w:cs="宋体"/>
                <w:color w:val="000000"/>
                <w:sz w:val="17"/>
              </w:rPr>
              <w:t>适用于局限性皮损或内治基础上的外治配合。普连膏每日2次外用；根据皮损干燥、肥厚、鳞屑和刺激反应调整。</w:t>
            </w:r>
          </w:p>
        </w:tc>
        <w:tc>
          <w:tcPr>
            <w:tcW w:w="3221" w:type="dxa"/>
            <w:tcMar>
              <w:top w:w="85" w:type="dxa"/>
              <w:left w:w="100" w:type="dxa"/>
              <w:bottom w:w="85" w:type="dxa"/>
              <w:right w:w="100" w:type="dxa"/>
            </w:tcMar>
            <w:vAlign w:val="center"/>
          </w:tcPr>
          <w:p w14:paraId="69170793">
            <w:pPr>
              <w:spacing w:line="300" w:lineRule="exact"/>
              <w:jc w:val="center"/>
              <w:rPr>
                <w:rFonts w:ascii="宋体" w:hAnsi="宋体" w:cs="宋体"/>
              </w:rPr>
            </w:pPr>
            <w:r>
              <w:rPr>
                <w:rFonts w:hint="eastAsia" w:ascii="宋体" w:hAnsi="宋体" w:cs="宋体"/>
                <w:color w:val="000000"/>
                <w:sz w:val="17"/>
              </w:rPr>
              <w:t>建议2～4周复评；出现刺激、糜烂或感染时暂停并处理。</w:t>
            </w:r>
          </w:p>
        </w:tc>
      </w:tr>
      <w:tr w14:paraId="489AE73A">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trPr>
        <w:tc>
          <w:tcPr>
            <w:tcW w:w="1587" w:type="dxa"/>
            <w:tcMar>
              <w:top w:w="85" w:type="dxa"/>
              <w:left w:w="100" w:type="dxa"/>
              <w:bottom w:w="85" w:type="dxa"/>
              <w:right w:w="100" w:type="dxa"/>
            </w:tcMar>
            <w:vAlign w:val="center"/>
          </w:tcPr>
          <w:p w14:paraId="641364E8">
            <w:pPr>
              <w:spacing w:line="300" w:lineRule="exact"/>
              <w:jc w:val="center"/>
              <w:rPr>
                <w:rFonts w:ascii="宋体" w:hAnsi="宋体" w:cs="宋体"/>
              </w:rPr>
            </w:pPr>
            <w:r>
              <w:rPr>
                <w:rFonts w:hint="eastAsia" w:ascii="宋体" w:hAnsi="宋体" w:cs="宋体"/>
                <w:color w:val="000000"/>
                <w:sz w:val="17"/>
              </w:rPr>
              <w:t>中药熏洗/药浴（三黄洗剂等）</w:t>
            </w:r>
          </w:p>
        </w:tc>
        <w:tc>
          <w:tcPr>
            <w:tcW w:w="4478" w:type="dxa"/>
            <w:tcMar>
              <w:top w:w="85" w:type="dxa"/>
              <w:left w:w="100" w:type="dxa"/>
              <w:bottom w:w="85" w:type="dxa"/>
              <w:right w:w="100" w:type="dxa"/>
            </w:tcMar>
            <w:vAlign w:val="center"/>
          </w:tcPr>
          <w:p w14:paraId="57130A19">
            <w:pPr>
              <w:spacing w:line="300" w:lineRule="exact"/>
              <w:jc w:val="left"/>
              <w:rPr>
                <w:rFonts w:ascii="宋体" w:hAnsi="宋体" w:cs="宋体"/>
              </w:rPr>
            </w:pPr>
            <w:r>
              <w:rPr>
                <w:rFonts w:hint="eastAsia" w:ascii="宋体" w:hAnsi="宋体" w:cs="宋体"/>
                <w:color w:val="000000"/>
                <w:sz w:val="17"/>
              </w:rPr>
              <w:t>适用于血燥证或干燥脱屑明显者。三黄洗剂药液可局部熏洗或药浴，温度37～39 ℃，20 min/次，每日1次；临床可联合卡泊三醇软膏外用。</w:t>
            </w:r>
          </w:p>
        </w:tc>
        <w:tc>
          <w:tcPr>
            <w:tcW w:w="3221" w:type="dxa"/>
            <w:tcMar>
              <w:top w:w="85" w:type="dxa"/>
              <w:left w:w="100" w:type="dxa"/>
              <w:bottom w:w="85" w:type="dxa"/>
              <w:right w:w="100" w:type="dxa"/>
            </w:tcMar>
            <w:vAlign w:val="center"/>
          </w:tcPr>
          <w:p w14:paraId="1077378D">
            <w:pPr>
              <w:spacing w:line="300" w:lineRule="exact"/>
              <w:jc w:val="center"/>
              <w:rPr>
                <w:rFonts w:ascii="宋体" w:hAnsi="宋体" w:cs="宋体"/>
              </w:rPr>
            </w:pPr>
            <w:r>
              <w:rPr>
                <w:rFonts w:hint="eastAsia" w:ascii="宋体" w:hAnsi="宋体" w:cs="宋体"/>
                <w:color w:val="000000"/>
                <w:sz w:val="17"/>
              </w:rPr>
              <w:t>建议2～4周复评。</w:t>
            </w:r>
          </w:p>
        </w:tc>
      </w:tr>
      <w:tr w14:paraId="6973EE9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trPr>
        <w:tc>
          <w:tcPr>
            <w:tcW w:w="1587" w:type="dxa"/>
            <w:tcMar>
              <w:top w:w="85" w:type="dxa"/>
              <w:left w:w="100" w:type="dxa"/>
              <w:bottom w:w="85" w:type="dxa"/>
              <w:right w:w="100" w:type="dxa"/>
            </w:tcMar>
            <w:vAlign w:val="center"/>
          </w:tcPr>
          <w:p w14:paraId="79A56F16">
            <w:pPr>
              <w:spacing w:line="300" w:lineRule="exact"/>
              <w:jc w:val="center"/>
              <w:rPr>
                <w:rFonts w:ascii="宋体" w:hAnsi="宋体" w:cs="宋体"/>
              </w:rPr>
            </w:pPr>
            <w:r>
              <w:rPr>
                <w:rFonts w:hint="eastAsia" w:ascii="宋体" w:hAnsi="宋体" w:cs="宋体"/>
                <w:color w:val="000000"/>
                <w:sz w:val="17"/>
              </w:rPr>
              <w:t>刺络拔罐疗法</w:t>
            </w:r>
          </w:p>
        </w:tc>
        <w:tc>
          <w:tcPr>
            <w:tcW w:w="4478" w:type="dxa"/>
            <w:tcMar>
              <w:top w:w="85" w:type="dxa"/>
              <w:left w:w="100" w:type="dxa"/>
              <w:bottom w:w="85" w:type="dxa"/>
              <w:right w:w="100" w:type="dxa"/>
            </w:tcMar>
            <w:vAlign w:val="center"/>
          </w:tcPr>
          <w:p w14:paraId="5AA3A915">
            <w:pPr>
              <w:spacing w:line="300" w:lineRule="exact"/>
              <w:jc w:val="left"/>
              <w:rPr>
                <w:rFonts w:ascii="宋体" w:hAnsi="宋体" w:cs="宋体"/>
              </w:rPr>
            </w:pPr>
            <w:r>
              <w:rPr>
                <w:rFonts w:hint="eastAsia" w:ascii="宋体" w:hAnsi="宋体" w:cs="宋体"/>
                <w:color w:val="000000"/>
                <w:sz w:val="17"/>
              </w:rPr>
              <w:t>适用于稳定期、斑块肥厚或血瘀证明显者。选取皮损处或相关背俞穴，常规消毒后点刺放血并拔罐，留罐约5 min，每3日1次或每周1次。</w:t>
            </w:r>
          </w:p>
        </w:tc>
        <w:tc>
          <w:tcPr>
            <w:tcW w:w="3221" w:type="dxa"/>
            <w:tcMar>
              <w:top w:w="85" w:type="dxa"/>
              <w:left w:w="100" w:type="dxa"/>
              <w:bottom w:w="85" w:type="dxa"/>
              <w:right w:w="100" w:type="dxa"/>
            </w:tcMar>
            <w:vAlign w:val="center"/>
          </w:tcPr>
          <w:p w14:paraId="539A81D7">
            <w:pPr>
              <w:spacing w:line="300" w:lineRule="exact"/>
              <w:jc w:val="center"/>
              <w:rPr>
                <w:rFonts w:ascii="宋体" w:hAnsi="宋体" w:cs="宋体"/>
              </w:rPr>
            </w:pPr>
            <w:r>
              <w:rPr>
                <w:rFonts w:hint="eastAsia" w:ascii="宋体" w:hAnsi="宋体" w:cs="宋体"/>
                <w:color w:val="000000"/>
                <w:sz w:val="17"/>
              </w:rPr>
              <w:t>建议2～4周复评皮损厚度、瘙痒及局部反应。</w:t>
            </w:r>
          </w:p>
        </w:tc>
      </w:tr>
      <w:tr w14:paraId="43398B6C">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trPr>
        <w:tc>
          <w:tcPr>
            <w:tcW w:w="1587" w:type="dxa"/>
            <w:tcMar>
              <w:top w:w="85" w:type="dxa"/>
              <w:left w:w="100" w:type="dxa"/>
              <w:bottom w:w="85" w:type="dxa"/>
              <w:right w:w="100" w:type="dxa"/>
            </w:tcMar>
            <w:vAlign w:val="center"/>
          </w:tcPr>
          <w:p w14:paraId="1F942C3C">
            <w:pPr>
              <w:spacing w:line="300" w:lineRule="exact"/>
              <w:jc w:val="center"/>
              <w:rPr>
                <w:rFonts w:ascii="宋体" w:hAnsi="宋体" w:cs="宋体"/>
              </w:rPr>
            </w:pPr>
            <w:r>
              <w:rPr>
                <w:rFonts w:hint="eastAsia" w:ascii="宋体" w:hAnsi="宋体" w:cs="宋体"/>
                <w:color w:val="000000"/>
                <w:sz w:val="17"/>
              </w:rPr>
              <w:t>艾灸疗法</w:t>
            </w:r>
          </w:p>
        </w:tc>
        <w:tc>
          <w:tcPr>
            <w:tcW w:w="4478" w:type="dxa"/>
            <w:tcMar>
              <w:top w:w="85" w:type="dxa"/>
              <w:left w:w="100" w:type="dxa"/>
              <w:bottom w:w="85" w:type="dxa"/>
              <w:right w:w="100" w:type="dxa"/>
            </w:tcMar>
            <w:vAlign w:val="center"/>
          </w:tcPr>
          <w:p w14:paraId="1271C16E">
            <w:pPr>
              <w:spacing w:line="300" w:lineRule="exact"/>
              <w:jc w:val="left"/>
              <w:rPr>
                <w:rFonts w:ascii="宋体" w:hAnsi="宋体" w:cs="宋体"/>
              </w:rPr>
            </w:pPr>
            <w:r>
              <w:rPr>
                <w:rFonts w:hint="eastAsia" w:ascii="宋体" w:hAnsi="宋体" w:cs="宋体"/>
                <w:color w:val="000000"/>
                <w:sz w:val="17"/>
              </w:rPr>
              <w:t>适用于血瘀证或皮损浸润肥厚者。主穴取阿是穴；浸润肥厚加足三里、血海、气海；皮损色红加三阴交、血海、曲池；可选温和灸、回旋灸、雀啄灸。</w:t>
            </w:r>
          </w:p>
        </w:tc>
        <w:tc>
          <w:tcPr>
            <w:tcW w:w="3221" w:type="dxa"/>
            <w:tcMar>
              <w:top w:w="85" w:type="dxa"/>
              <w:left w:w="100" w:type="dxa"/>
              <w:bottom w:w="85" w:type="dxa"/>
              <w:right w:w="100" w:type="dxa"/>
            </w:tcMar>
            <w:vAlign w:val="center"/>
          </w:tcPr>
          <w:p w14:paraId="31166550">
            <w:pPr>
              <w:spacing w:line="300" w:lineRule="exact"/>
              <w:jc w:val="center"/>
              <w:rPr>
                <w:rFonts w:ascii="宋体" w:hAnsi="宋体" w:cs="宋体"/>
              </w:rPr>
            </w:pPr>
            <w:r>
              <w:rPr>
                <w:rFonts w:hint="eastAsia" w:ascii="宋体" w:hAnsi="宋体" w:cs="宋体"/>
                <w:color w:val="000000"/>
                <w:sz w:val="17"/>
              </w:rPr>
              <w:t>建议2～4周复评，注意防烫伤。</w:t>
            </w:r>
          </w:p>
        </w:tc>
      </w:tr>
      <w:tr w14:paraId="77E1BDA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trPr>
        <w:tc>
          <w:tcPr>
            <w:tcW w:w="1587" w:type="dxa"/>
            <w:tcMar>
              <w:top w:w="85" w:type="dxa"/>
              <w:left w:w="100" w:type="dxa"/>
              <w:bottom w:w="85" w:type="dxa"/>
              <w:right w:w="100" w:type="dxa"/>
            </w:tcMar>
            <w:vAlign w:val="center"/>
          </w:tcPr>
          <w:p w14:paraId="11A69484">
            <w:pPr>
              <w:spacing w:line="300" w:lineRule="exact"/>
              <w:jc w:val="center"/>
              <w:rPr>
                <w:rFonts w:ascii="宋体" w:hAnsi="宋体" w:cs="宋体"/>
              </w:rPr>
            </w:pPr>
            <w:r>
              <w:rPr>
                <w:rFonts w:hint="eastAsia" w:ascii="宋体" w:hAnsi="宋体" w:cs="宋体"/>
                <w:color w:val="000000"/>
                <w:sz w:val="17"/>
              </w:rPr>
              <w:t>中药湿敷（加味三黄洗剂等）</w:t>
            </w:r>
          </w:p>
        </w:tc>
        <w:tc>
          <w:tcPr>
            <w:tcW w:w="4478" w:type="dxa"/>
            <w:tcMar>
              <w:top w:w="85" w:type="dxa"/>
              <w:left w:w="100" w:type="dxa"/>
              <w:bottom w:w="85" w:type="dxa"/>
              <w:right w:w="100" w:type="dxa"/>
            </w:tcMar>
            <w:vAlign w:val="center"/>
          </w:tcPr>
          <w:p w14:paraId="3E9C3D1B">
            <w:pPr>
              <w:spacing w:line="300" w:lineRule="exact"/>
              <w:jc w:val="left"/>
              <w:rPr>
                <w:rFonts w:ascii="宋体" w:hAnsi="宋体" w:cs="宋体"/>
              </w:rPr>
            </w:pPr>
            <w:r>
              <w:rPr>
                <w:rFonts w:hint="eastAsia" w:ascii="宋体" w:hAnsi="宋体" w:cs="宋体"/>
                <w:color w:val="000000"/>
                <w:sz w:val="17"/>
              </w:rPr>
              <w:t>适用于局部红斑、瘙痒或炎症较明显者，可作为辅助外治。加味三黄洗剂原液湿敷皮损处，温度约37～39 ℃，15～20 min/次，每日2次。</w:t>
            </w:r>
          </w:p>
        </w:tc>
        <w:tc>
          <w:tcPr>
            <w:tcW w:w="3221" w:type="dxa"/>
            <w:tcMar>
              <w:top w:w="85" w:type="dxa"/>
              <w:left w:w="100" w:type="dxa"/>
              <w:bottom w:w="85" w:type="dxa"/>
              <w:right w:w="100" w:type="dxa"/>
            </w:tcMar>
            <w:vAlign w:val="center"/>
          </w:tcPr>
          <w:p w14:paraId="0AE114A5">
            <w:pPr>
              <w:spacing w:line="300" w:lineRule="exact"/>
              <w:jc w:val="center"/>
              <w:rPr>
                <w:rFonts w:ascii="宋体" w:hAnsi="宋体" w:cs="宋体"/>
              </w:rPr>
            </w:pPr>
            <w:r>
              <w:rPr>
                <w:rFonts w:hint="eastAsia" w:ascii="宋体" w:hAnsi="宋体" w:cs="宋体"/>
                <w:color w:val="000000"/>
                <w:sz w:val="17"/>
              </w:rPr>
              <w:t>建议1～2周复评局部反应。</w:t>
            </w:r>
          </w:p>
        </w:tc>
      </w:tr>
      <w:tr w14:paraId="5F87BF17">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trPr>
        <w:tc>
          <w:tcPr>
            <w:tcW w:w="1587" w:type="dxa"/>
            <w:tcMar>
              <w:top w:w="85" w:type="dxa"/>
              <w:left w:w="100" w:type="dxa"/>
              <w:bottom w:w="85" w:type="dxa"/>
              <w:right w:w="100" w:type="dxa"/>
            </w:tcMar>
            <w:vAlign w:val="center"/>
          </w:tcPr>
          <w:p w14:paraId="2A34B277">
            <w:pPr>
              <w:spacing w:line="300" w:lineRule="exact"/>
              <w:jc w:val="center"/>
              <w:rPr>
                <w:rFonts w:ascii="宋体" w:hAnsi="宋体" w:cs="宋体"/>
              </w:rPr>
            </w:pPr>
            <w:r>
              <w:rPr>
                <w:rFonts w:hint="eastAsia" w:ascii="宋体" w:hAnsi="宋体" w:cs="宋体"/>
                <w:color w:val="000000"/>
                <w:sz w:val="17"/>
              </w:rPr>
              <w:t>三棱针点刺</w:t>
            </w:r>
          </w:p>
        </w:tc>
        <w:tc>
          <w:tcPr>
            <w:tcW w:w="4478" w:type="dxa"/>
            <w:tcMar>
              <w:top w:w="85" w:type="dxa"/>
              <w:left w:w="100" w:type="dxa"/>
              <w:bottom w:w="85" w:type="dxa"/>
              <w:right w:w="100" w:type="dxa"/>
            </w:tcMar>
            <w:vAlign w:val="center"/>
          </w:tcPr>
          <w:p w14:paraId="42AF4524">
            <w:pPr>
              <w:spacing w:line="300" w:lineRule="exact"/>
              <w:jc w:val="left"/>
              <w:rPr>
                <w:rFonts w:ascii="宋体" w:hAnsi="宋体" w:cs="宋体"/>
              </w:rPr>
            </w:pPr>
            <w:r>
              <w:rPr>
                <w:rFonts w:hint="eastAsia" w:ascii="宋体" w:hAnsi="宋体" w:cs="宋体"/>
                <w:color w:val="000000"/>
                <w:sz w:val="17"/>
              </w:rPr>
              <w:t>常用穴位可选耳尖、大椎、陶道、肝俞、脾俞等，每日选1～2个穴；斑块状银屑病可选局部皮损阿是穴点刺。</w:t>
            </w:r>
          </w:p>
        </w:tc>
        <w:tc>
          <w:tcPr>
            <w:tcW w:w="3221" w:type="dxa"/>
            <w:tcMar>
              <w:top w:w="85" w:type="dxa"/>
              <w:left w:w="100" w:type="dxa"/>
              <w:bottom w:w="85" w:type="dxa"/>
              <w:right w:w="100" w:type="dxa"/>
            </w:tcMar>
            <w:vAlign w:val="center"/>
          </w:tcPr>
          <w:p w14:paraId="58FC3B9C">
            <w:pPr>
              <w:spacing w:line="300" w:lineRule="exact"/>
              <w:jc w:val="center"/>
              <w:rPr>
                <w:rFonts w:ascii="宋体" w:hAnsi="宋体" w:cs="宋体"/>
              </w:rPr>
            </w:pPr>
            <w:r>
              <w:rPr>
                <w:rFonts w:hint="eastAsia" w:ascii="宋体" w:hAnsi="宋体" w:cs="宋体"/>
                <w:color w:val="000000"/>
                <w:sz w:val="17"/>
              </w:rPr>
              <w:t>按外治规范短程观察，1～2周复评。</w:t>
            </w:r>
          </w:p>
        </w:tc>
      </w:tr>
      <w:tr w14:paraId="621E91C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trPr>
        <w:tc>
          <w:tcPr>
            <w:tcW w:w="1587" w:type="dxa"/>
            <w:tcMar>
              <w:top w:w="85" w:type="dxa"/>
              <w:left w:w="100" w:type="dxa"/>
              <w:bottom w:w="85" w:type="dxa"/>
              <w:right w:w="100" w:type="dxa"/>
            </w:tcMar>
            <w:vAlign w:val="center"/>
          </w:tcPr>
          <w:p w14:paraId="75BAB303">
            <w:pPr>
              <w:spacing w:line="300" w:lineRule="exact"/>
              <w:jc w:val="center"/>
              <w:rPr>
                <w:rFonts w:ascii="宋体" w:hAnsi="宋体" w:cs="宋体"/>
              </w:rPr>
            </w:pPr>
            <w:r>
              <w:rPr>
                <w:rFonts w:hint="eastAsia" w:ascii="宋体" w:hAnsi="宋体" w:cs="宋体"/>
                <w:color w:val="000000"/>
                <w:sz w:val="17"/>
              </w:rPr>
              <w:t>润肤保湿治疗</w:t>
            </w:r>
          </w:p>
        </w:tc>
        <w:tc>
          <w:tcPr>
            <w:tcW w:w="4478" w:type="dxa"/>
            <w:tcMar>
              <w:top w:w="85" w:type="dxa"/>
              <w:left w:w="100" w:type="dxa"/>
              <w:bottom w:w="85" w:type="dxa"/>
              <w:right w:w="100" w:type="dxa"/>
            </w:tcMar>
            <w:vAlign w:val="center"/>
          </w:tcPr>
          <w:p w14:paraId="16727C3E">
            <w:pPr>
              <w:spacing w:line="300" w:lineRule="exact"/>
              <w:jc w:val="left"/>
              <w:rPr>
                <w:rFonts w:ascii="宋体" w:hAnsi="宋体" w:cs="宋体"/>
              </w:rPr>
            </w:pPr>
            <w:r>
              <w:rPr>
                <w:rFonts w:hint="eastAsia" w:ascii="宋体" w:hAnsi="宋体" w:cs="宋体"/>
                <w:color w:val="000000"/>
                <w:sz w:val="17"/>
              </w:rPr>
              <w:t>作为轻中度寻常型银屑病基础护理，可在中药内治或外治基础上长期配合使用，以减轻干燥、脱屑及瘙痒，维护皮肤屏障。</w:t>
            </w:r>
          </w:p>
        </w:tc>
        <w:tc>
          <w:tcPr>
            <w:tcW w:w="3221" w:type="dxa"/>
            <w:tcMar>
              <w:top w:w="85" w:type="dxa"/>
              <w:left w:w="100" w:type="dxa"/>
              <w:bottom w:w="85" w:type="dxa"/>
              <w:right w:w="100" w:type="dxa"/>
            </w:tcMar>
            <w:vAlign w:val="center"/>
          </w:tcPr>
          <w:p w14:paraId="41151DA1">
            <w:pPr>
              <w:spacing w:line="300" w:lineRule="exact"/>
              <w:jc w:val="center"/>
              <w:rPr>
                <w:rFonts w:ascii="宋体" w:hAnsi="宋体" w:cs="宋体"/>
              </w:rPr>
            </w:pPr>
            <w:r>
              <w:rPr>
                <w:rFonts w:hint="eastAsia" w:ascii="宋体" w:hAnsi="宋体" w:cs="宋体"/>
                <w:color w:val="000000"/>
                <w:sz w:val="17"/>
              </w:rPr>
              <w:t>可长期应用；每次洗浴后及皮肤干燥时及时外用。</w:t>
            </w:r>
          </w:p>
        </w:tc>
      </w:tr>
    </w:tbl>
    <w:p w14:paraId="49CBC63A">
      <w:pPr>
        <w:pStyle w:val="181"/>
      </w:pPr>
      <w:r>
        <w:rPr>
          <w:rFonts w:hint="eastAsia"/>
        </w:rPr>
        <w:t>汤剂处方与剂量仅供临床参考，应依据患者证候、体质、合并症及安全性监测结果辨证加减；中成药用法用量应以实际使用产品的最新版说明书为准；治疗期间应观察不良反应，必要时调整或停用。</w:t>
      </w:r>
    </w:p>
    <w:p w14:paraId="298082BA">
      <w:pPr>
        <w:pStyle w:val="106"/>
        <w:spacing w:before="240" w:after="240"/>
      </w:pPr>
      <w:bookmarkStart w:id="65" w:name="_Toc237299233"/>
      <w:r>
        <w:rPr>
          <w:rFonts w:hint="eastAsia"/>
        </w:rPr>
        <w:t>疗效评价</w:t>
      </w:r>
      <w:bookmarkEnd w:id="65"/>
    </w:p>
    <w:p w14:paraId="4223E360">
      <w:pPr>
        <w:pStyle w:val="107"/>
        <w:spacing w:before="120" w:after="120"/>
      </w:pPr>
      <w:bookmarkStart w:id="66" w:name="_Toc237299234"/>
      <w:r>
        <w:rPr>
          <w:rFonts w:hint="eastAsia"/>
        </w:rPr>
        <w:t>评估时点</w:t>
      </w:r>
      <w:bookmarkEnd w:id="66"/>
    </w:p>
    <w:p w14:paraId="75D6B07D">
      <w:pPr>
        <w:pStyle w:val="58"/>
        <w:ind w:firstLine="420"/>
      </w:pPr>
      <w:r>
        <w:rPr>
          <w:rFonts w:hint="eastAsia"/>
        </w:rPr>
        <w:t>治疗前应完成基线评估。治疗后2～4周复评证候变化、治疗依从性和安全性；4～8周评估皮损、症状及生活质量改善情况。病情稳定或进入维持期后，应根据治疗方式、复发风险及患者需求安排随访。</w:t>
      </w:r>
    </w:p>
    <w:p w14:paraId="483DAAB7">
      <w:pPr>
        <w:pStyle w:val="107"/>
        <w:spacing w:before="120" w:after="120"/>
      </w:pPr>
      <w:bookmarkStart w:id="67" w:name="_Toc237299235"/>
      <w:r>
        <w:rPr>
          <w:rFonts w:hint="eastAsia"/>
        </w:rPr>
        <w:t>皮损疗效评价</w:t>
      </w:r>
      <w:bookmarkEnd w:id="67"/>
    </w:p>
    <w:p w14:paraId="00CAF957">
      <w:pPr>
        <w:pStyle w:val="58"/>
        <w:ind w:firstLine="420"/>
      </w:pPr>
      <w:r>
        <w:rPr>
          <w:rFonts w:hint="eastAsia"/>
        </w:rPr>
        <w:t>应记录PASI、BSA、PGA等指标的治疗前后绝对值及相对变化，并结合红斑、浸润或厚度、鳞屑和总体病情变化综合判断。头皮、面部、掌跖、甲及生殖器等特殊部位受累情况应单独记录。</w:t>
      </w:r>
    </w:p>
    <w:p w14:paraId="05CC1D54">
      <w:pPr>
        <w:pStyle w:val="107"/>
        <w:spacing w:before="120" w:after="120"/>
      </w:pPr>
      <w:bookmarkStart w:id="68" w:name="_Toc237299236"/>
      <w:r>
        <w:rPr>
          <w:rFonts w:hint="eastAsia"/>
        </w:rPr>
        <w:t>症状及生活质量评价</w:t>
      </w:r>
      <w:bookmarkEnd w:id="68"/>
    </w:p>
    <w:p w14:paraId="028DE521">
      <w:pPr>
        <w:pStyle w:val="58"/>
        <w:ind w:firstLine="420"/>
      </w:pPr>
      <w:r>
        <w:rPr>
          <w:rFonts w:hint="eastAsia"/>
        </w:rPr>
        <w:t>可采用数字评分量表（NRS）或视觉模拟量表（VAS）记录瘙痒等症状变化，并采用DLQI评价生活质量。疗效判断应同时考虑患者主观感受、客观皮损变化及治疗负担。</w:t>
      </w:r>
    </w:p>
    <w:p w14:paraId="189BD826">
      <w:pPr>
        <w:pStyle w:val="107"/>
        <w:spacing w:before="120" w:after="120"/>
      </w:pPr>
      <w:bookmarkStart w:id="69" w:name="_Toc237299237"/>
      <w:r>
        <w:rPr>
          <w:rFonts w:hint="eastAsia"/>
        </w:rPr>
        <w:t>疗效不足或不耐受时的处理</w:t>
      </w:r>
      <w:bookmarkEnd w:id="69"/>
    </w:p>
    <w:p w14:paraId="2DBFE401">
      <w:pPr>
        <w:pStyle w:val="58"/>
        <w:ind w:firstLine="420"/>
      </w:pPr>
      <w:r>
        <w:rPr>
          <w:rFonts w:hint="eastAsia"/>
        </w:rPr>
        <w:t>疗效不足或出现不耐受时，应复核诊断、治疗依从性、诱发因素、特殊部位受累、关节症状和用药安全性，并据此调整辨证治疗方案。符合光疗、系统治疗或专科转诊指征者，应及时评估升级治疗。</w:t>
      </w:r>
    </w:p>
    <w:p w14:paraId="359ACA38">
      <w:pPr>
        <w:pStyle w:val="106"/>
        <w:spacing w:before="240" w:after="240"/>
      </w:pPr>
      <w:bookmarkStart w:id="70" w:name="_Toc237299238"/>
      <w:r>
        <w:rPr>
          <w:rFonts w:hint="eastAsia"/>
        </w:rPr>
        <w:t>护理与自我管理</w:t>
      </w:r>
      <w:bookmarkEnd w:id="70"/>
    </w:p>
    <w:p w14:paraId="0E4C99D1">
      <w:pPr>
        <w:pStyle w:val="107"/>
        <w:spacing w:before="120" w:after="120"/>
      </w:pPr>
      <w:bookmarkStart w:id="71" w:name="_Toc237299239"/>
      <w:r>
        <w:rPr>
          <w:rFonts w:hint="eastAsia"/>
        </w:rPr>
        <w:t>一般护理</w:t>
      </w:r>
      <w:bookmarkEnd w:id="71"/>
    </w:p>
    <w:p w14:paraId="2BB5A7BE">
      <w:pPr>
        <w:pStyle w:val="58"/>
        <w:ind w:firstLine="420"/>
      </w:pPr>
      <w:r>
        <w:rPr>
          <w:rFonts w:hint="eastAsia"/>
        </w:rPr>
        <w:t>保持居室清洁通风及温湿度适宜，避免受凉、暴晒和过度出汗。衣物宜柔软宽松，以棉质为主，避免搔抓、摩擦、热水烫洗及使用刺激性洗护用品。洗浴宜用温水，时间不宜过长，浴后及时外用润肤剂或遵医嘱用药，以维护皮肤屏障。皮损出现渗出、破溃或继发感染时，应加强局部清洁并及时就诊。保持规律作息，尽量避免熬夜，建议固定入睡和起床时间，可于22:00～23:00前入睡，并保证每日7～8 h睡眠。病情稳定期可选择散步、太极拳、八段锦等低强度运动，同时加强体重管理，戒烟限酒，避免辛辣、肥甘厚味及已明确诱发或加重病情的食物、药物和环境因素。</w:t>
      </w:r>
    </w:p>
    <w:p w14:paraId="72F0DC11">
      <w:pPr>
        <w:pStyle w:val="107"/>
        <w:spacing w:before="120" w:after="120"/>
      </w:pPr>
      <w:bookmarkStart w:id="72" w:name="_Toc237299240"/>
      <w:r>
        <w:rPr>
          <w:rFonts w:hint="eastAsia"/>
        </w:rPr>
        <w:t>情志护理</w:t>
      </w:r>
      <w:bookmarkEnd w:id="72"/>
    </w:p>
    <w:p w14:paraId="1D377349">
      <w:pPr>
        <w:pStyle w:val="58"/>
        <w:ind w:firstLine="420"/>
      </w:pPr>
      <w:r>
        <w:rPr>
          <w:rFonts w:hint="eastAsia"/>
        </w:rPr>
        <w:t>银屑病病程迁延、易于复发，患者可因皮损外观、瘙痒及病情波动出现焦虑、烦躁、自卑或失眠。医护人员应加强沟通与疾病教育，帮助患者正确认识疾病特点，建立合理的治疗预期，并鼓励家属给予支持。情绪波动明显者可进行放松训练、睡眠调整及必要的心理干预，以减轻精神应激对病情的影响。</w:t>
      </w:r>
    </w:p>
    <w:p w14:paraId="734E7BC7">
      <w:pPr>
        <w:pStyle w:val="107"/>
        <w:spacing w:before="120" w:after="120"/>
      </w:pPr>
      <w:bookmarkStart w:id="73" w:name="_Toc237299241"/>
      <w:r>
        <w:rPr>
          <w:rFonts w:hint="eastAsia"/>
        </w:rPr>
        <w:t>健康指导</w:t>
      </w:r>
      <w:bookmarkEnd w:id="73"/>
    </w:p>
    <w:p w14:paraId="24EF6D57">
      <w:pPr>
        <w:pStyle w:val="58"/>
        <w:ind w:firstLine="420"/>
      </w:pPr>
      <w:r>
        <w:rPr>
          <w:rFonts w:hint="eastAsia"/>
        </w:rPr>
        <w:t>加强疾病教育，帮助患者认识银屑病慢性、复发性的特点，遵医嘱规范治疗，避免擅自停药、换药或使用偏方。指导患者观察皮损面积、颜色、鳞屑和瘙痒变化，必要时记录病情及睡眠、精神压力、感染、饮食、季节变化等可能诱因。合并感染、肥胖、代谢异常或睡眠障碍者，应同时干预相关因素。缓解期仍应坚持润肤保湿、生活调摄和定期随访，以减少复发并维持病情稳定。</w:t>
      </w:r>
    </w:p>
    <w:p w14:paraId="104279C0">
      <w:pPr>
        <w:pStyle w:val="58"/>
        <w:ind w:firstLine="420"/>
      </w:pPr>
    </w:p>
    <w:p w14:paraId="614577BD">
      <w:pPr>
        <w:pStyle w:val="58"/>
        <w:ind w:firstLine="420"/>
      </w:pPr>
    </w:p>
    <w:p w14:paraId="410F8851">
      <w:pPr>
        <w:pStyle w:val="58"/>
        <w:ind w:firstLine="420"/>
      </w:pPr>
    </w:p>
    <w:p w14:paraId="0BED7288">
      <w:pPr>
        <w:pStyle w:val="58"/>
        <w:ind w:firstLine="420"/>
      </w:pPr>
    </w:p>
    <w:p w14:paraId="2F4F7C7C">
      <w:pPr>
        <w:pStyle w:val="58"/>
        <w:ind w:firstLine="420"/>
      </w:pPr>
    </w:p>
    <w:p w14:paraId="176779EA">
      <w:pPr>
        <w:pStyle w:val="58"/>
        <w:ind w:firstLine="420"/>
      </w:pPr>
    </w:p>
    <w:p w14:paraId="77BCC9D1">
      <w:pPr>
        <w:pStyle w:val="58"/>
        <w:ind w:firstLine="420"/>
      </w:pPr>
    </w:p>
    <w:p w14:paraId="20973F87">
      <w:pPr>
        <w:pStyle w:val="58"/>
        <w:ind w:firstLine="420"/>
      </w:pPr>
    </w:p>
    <w:p w14:paraId="656CE765">
      <w:pPr>
        <w:pStyle w:val="58"/>
        <w:ind w:firstLine="420"/>
      </w:pPr>
    </w:p>
    <w:p w14:paraId="1DF6073A">
      <w:pPr>
        <w:pStyle w:val="58"/>
        <w:ind w:firstLine="420"/>
        <w:sectPr>
          <w:pgSz w:w="11906" w:h="16838"/>
          <w:pgMar w:top="1928" w:right="1134" w:bottom="1134" w:left="1134" w:header="1418" w:footer="1134" w:gutter="284"/>
          <w:pgNumType w:start="1"/>
          <w:cols w:space="425" w:num="1"/>
          <w:formProt w:val="0"/>
          <w:docGrid w:linePitch="312" w:charSpace="0"/>
        </w:sectPr>
      </w:pPr>
    </w:p>
    <w:p w14:paraId="02800761">
      <w:pPr>
        <w:pStyle w:val="200"/>
      </w:pPr>
      <w:bookmarkStart w:id="74" w:name="BookMark5"/>
    </w:p>
    <w:p w14:paraId="04A7B669">
      <w:pPr>
        <w:pStyle w:val="201"/>
      </w:pPr>
    </w:p>
    <w:p w14:paraId="310D8708">
      <w:pPr>
        <w:pStyle w:val="78"/>
        <w:spacing w:after="120"/>
      </w:pPr>
      <w:r>
        <w:br w:type="textWrapping"/>
      </w:r>
      <w:bookmarkStart w:id="75" w:name="_Toc237299242"/>
      <w:r>
        <w:rPr>
          <w:rFonts w:hint="eastAsia"/>
        </w:rPr>
        <w:t>（资料性）</w:t>
      </w:r>
      <w:r>
        <w:br w:type="textWrapping"/>
      </w:r>
      <w:r>
        <w:rPr>
          <w:rFonts w:hint="eastAsia"/>
        </w:rPr>
        <w:t>诊疗流程图</w:t>
      </w:r>
      <w:bookmarkEnd w:id="75"/>
    </w:p>
    <w:p w14:paraId="6F0200CE">
      <w:pPr>
        <w:pStyle w:val="58"/>
        <w:ind w:firstLine="420"/>
      </w:pPr>
      <w:r>
        <w:rPr>
          <w:rFonts w:hint="eastAsia"/>
        </w:rPr>
        <w:drawing>
          <wp:inline distT="0" distB="0" distL="114300" distR="114300">
            <wp:extent cx="5297805" cy="7252335"/>
            <wp:effectExtent l="19050" t="0" r="0" b="0"/>
            <wp:docPr id="3" name="图片 2" descr="轻中度寻常型银屑病中医诊疗路径图_精修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轻中度寻常型银屑病中医诊疗路径图_精修版"/>
                    <pic:cNvPicPr>
                      <a:picLocks noChangeAspect="1"/>
                    </pic:cNvPicPr>
                  </pic:nvPicPr>
                  <pic:blipFill>
                    <a:blip r:embed="rId17" cstate="print"/>
                    <a:stretch>
                      <a:fillRect/>
                    </a:stretch>
                  </pic:blipFill>
                  <pic:spPr>
                    <a:xfrm>
                      <a:off x="0" y="0"/>
                      <a:ext cx="5300345" cy="7256016"/>
                    </a:xfrm>
                    <a:prstGeom prst="rect">
                      <a:avLst/>
                    </a:prstGeom>
                  </pic:spPr>
                </pic:pic>
              </a:graphicData>
            </a:graphic>
          </wp:inline>
        </w:drawing>
      </w:r>
    </w:p>
    <w:p w14:paraId="3AE5D7A9">
      <w:pPr>
        <w:pStyle w:val="85"/>
        <w:spacing w:before="120" w:after="120"/>
      </w:pPr>
      <w:r>
        <w:rPr>
          <w:rFonts w:hint="eastAsia"/>
        </w:rPr>
        <w:t>轻中度寻常型银屑病诊疗流程</w:t>
      </w:r>
    </w:p>
    <w:p w14:paraId="1E8F3128">
      <w:pPr>
        <w:pStyle w:val="58"/>
        <w:ind w:firstLine="420"/>
        <w:sectPr>
          <w:pgSz w:w="11906" w:h="16838"/>
          <w:pgMar w:top="1928" w:right="1134" w:bottom="1134" w:left="1134" w:header="1418" w:footer="1134" w:gutter="284"/>
          <w:cols w:space="425" w:num="1"/>
          <w:formProt w:val="0"/>
          <w:docGrid w:linePitch="312" w:charSpace="0"/>
        </w:sectPr>
      </w:pPr>
    </w:p>
    <w:p w14:paraId="765D9F4C">
      <w:pPr>
        <w:pStyle w:val="200"/>
      </w:pPr>
    </w:p>
    <w:p w14:paraId="00B529AA">
      <w:pPr>
        <w:pStyle w:val="201"/>
      </w:pPr>
    </w:p>
    <w:bookmarkEnd w:id="74"/>
    <w:p w14:paraId="410C0665">
      <w:pPr>
        <w:pStyle w:val="65"/>
        <w:spacing w:after="120"/>
      </w:pPr>
      <w:bookmarkStart w:id="76" w:name="_Toc237299250"/>
      <w:bookmarkStart w:id="77" w:name="BookMark6"/>
      <w:r>
        <w:rPr>
          <w:rFonts w:hint="eastAsia"/>
          <w:spacing w:val="105"/>
        </w:rPr>
        <w:t>参考文</w:t>
      </w:r>
      <w:r>
        <w:rPr>
          <w:rFonts w:hint="eastAsia"/>
        </w:rPr>
        <w:t>献</w:t>
      </w:r>
      <w:bookmarkEnd w:id="76"/>
    </w:p>
    <w:p w14:paraId="055E2DE8">
      <w:pPr>
        <w:pStyle w:val="58"/>
        <w:ind w:firstLine="420"/>
      </w:pPr>
      <w:r>
        <w:rPr>
          <w:rFonts w:hint="eastAsia"/>
        </w:rPr>
        <w:t>[1] 中华医学会皮肤性病学分会银屑病专业委员会. 中国银屑病诊疗指南（2023版）[J]. 中华皮肤科杂志, 2023, 56(7): 573-625. DOI:10.35541/cjd.20220839.</w:t>
      </w:r>
    </w:p>
    <w:p w14:paraId="0913DABA">
      <w:pPr>
        <w:pStyle w:val="58"/>
        <w:ind w:firstLine="420"/>
      </w:pPr>
      <w:r>
        <w:rPr>
          <w:rFonts w:hint="eastAsia"/>
        </w:rPr>
        <w:t>[2] Raychaudhuri SP, Farber EM. The prevalence of psoriasis in the world[J]. Journal of the European Academy of Dermatology and Venereology, 2001, 15(1): 16-17. DOI:10.1046/j.1468-3083.2001.00192.x.</w:t>
      </w:r>
    </w:p>
    <w:p w14:paraId="59BAC2F2">
      <w:pPr>
        <w:pStyle w:val="58"/>
        <w:ind w:firstLine="420"/>
      </w:pPr>
      <w:r>
        <w:rPr>
          <w:rFonts w:hint="eastAsia"/>
        </w:rPr>
        <w:t>[3] Ding X, Wang T, Shen Y, et al. Prevalence of psoriasis in China: a population-based study in six cities[J]. European Journal of Dermatology, 2012, 22(5): 663-667. DOI:10.1684/ejd.2012.1802.</w:t>
      </w:r>
    </w:p>
    <w:p w14:paraId="6CD5B2A6">
      <w:pPr>
        <w:pStyle w:val="58"/>
        <w:ind w:firstLine="420"/>
      </w:pPr>
      <w:r>
        <w:rPr>
          <w:rFonts w:hint="eastAsia"/>
        </w:rPr>
        <w:t>[4] 中华中医药学会皮肤科分会, 北京中西医结合学会皮肤性病专业委员会, 北京中医药学会皮肤病专业委员会. 寻常型银屑病（白疕）中医药循证临床实践指南（2013版）[J]. 中医杂志, 2014, 55(1): 76-82. DOI:10.13288/j.11-2166/r.2014.01.021.</w:t>
      </w:r>
    </w:p>
    <w:p w14:paraId="5D338A5B">
      <w:pPr>
        <w:pStyle w:val="58"/>
        <w:ind w:firstLine="420"/>
      </w:pPr>
      <w:r>
        <w:rPr>
          <w:rFonts w:hint="eastAsia"/>
        </w:rPr>
        <w:t>[5] 中华中医药学会皮肤科分会. 皮肤科分会银屑病中医治疗专家共识（2017年版）[J]. 中国中西医结合皮肤性病学杂志, 2018, 17(3): 273-277.</w:t>
      </w:r>
    </w:p>
    <w:p w14:paraId="1D4FAF3C">
      <w:pPr>
        <w:pStyle w:val="58"/>
        <w:ind w:firstLine="420"/>
      </w:pPr>
      <w:r>
        <w:rPr>
          <w:rFonts w:hint="eastAsia"/>
        </w:rPr>
        <w:t>[6] Golińska J, Sar-Pomian M, Rudnicka L. Dermoscopic features of psoriasis of the skin, scalp and nails: a systematic review[J]. Journal of the European Academy of Dermatology and Venereology, 2019, 33(4): 648-660. DOI:10.1111/jdv.15344.</w:t>
      </w:r>
    </w:p>
    <w:p w14:paraId="15025309">
      <w:pPr>
        <w:pStyle w:val="58"/>
        <w:ind w:firstLine="420"/>
      </w:pPr>
      <w:r>
        <w:rPr>
          <w:rFonts w:hint="eastAsia"/>
        </w:rPr>
        <w:t>[7] Oxford Centre for Evidence-Based Medicine. Oxford Centre for Evidence-Based Medicine: Levels of Evidence (March 2009)[EB/OL]. [2026-10-14].</w:t>
      </w:r>
    </w:p>
    <w:p w14:paraId="153849A1">
      <w:pPr>
        <w:pStyle w:val="58"/>
        <w:ind w:firstLine="420"/>
      </w:pPr>
      <w:r>
        <w:rPr>
          <w:rFonts w:hint="eastAsia"/>
        </w:rPr>
        <w:t>[8] Atkins D, Best D, Briss PA, et al. Grading quality of evidence and strength of recommendations[J]. BMJ, 2004, 328(7454): 1490. DOI:10.1136/bmj.328.7454.1490.</w:t>
      </w:r>
    </w:p>
    <w:p w14:paraId="2B6D524C">
      <w:pPr>
        <w:pStyle w:val="58"/>
        <w:ind w:firstLine="420"/>
      </w:pPr>
      <w:r>
        <w:rPr>
          <w:rFonts w:hint="eastAsia"/>
        </w:rPr>
        <w:t>[9] Guyatt GH, Oxman AD, Kunz R, et al. Going from evidence to recommendations[J]. BMJ, 2008, 336(7652): 1049-1051. DOI:10.1136/bmj.39493.646875.AE.</w:t>
      </w:r>
    </w:p>
    <w:p w14:paraId="1BFAF8EA">
      <w:pPr>
        <w:pStyle w:val="58"/>
        <w:ind w:firstLine="420"/>
      </w:pPr>
      <w:r>
        <w:rPr>
          <w:rFonts w:hint="eastAsia"/>
        </w:rPr>
        <w:t>[10] 中华中医药学会. 中医药临床实践指南形成推荐意见技术要素及条目: T/CACM 1443—2023[S]. 2023.</w:t>
      </w:r>
    </w:p>
    <w:p w14:paraId="062BF18B">
      <w:pPr>
        <w:pStyle w:val="58"/>
        <w:ind w:firstLine="420"/>
      </w:pPr>
      <w:r>
        <w:rPr>
          <w:rFonts w:hint="eastAsia"/>
        </w:rPr>
        <w:t>[11] 中华中医药学会. 中医药临床实践指南评价规范: T/CACM 1350—2021[S]. 2021.</w:t>
      </w:r>
    </w:p>
    <w:p w14:paraId="5EDE0E60">
      <w:pPr>
        <w:pStyle w:val="58"/>
        <w:ind w:firstLine="420"/>
      </w:pPr>
      <w:r>
        <w:rPr>
          <w:rFonts w:hint="eastAsia"/>
        </w:rPr>
        <w:t>[12] 世界中医药学会联合会, 卢传坚, 谢秀丽, 等. 寻常型银屑病中西医结合诊疗指南[J]. 世界中医药, 2024, 19(17): 2535-2544. DOI:10.3969/j.issn.1673-7202.2024.17.001.</w:t>
      </w:r>
    </w:p>
    <w:p w14:paraId="07DA7183">
      <w:pPr>
        <w:pStyle w:val="58"/>
        <w:ind w:firstLine="420"/>
      </w:pPr>
      <w:r>
        <w:rPr>
          <w:rFonts w:hint="eastAsia"/>
        </w:rPr>
        <w:t>[13] 吴康君. 犀角地黄汤加味治疗血热型寻常型银屑病的临床研究[J]. 中国社区医师, 2017, 33(20): 104-105.</w:t>
      </w:r>
    </w:p>
    <w:p w14:paraId="624172FF">
      <w:pPr>
        <w:pStyle w:val="58"/>
        <w:ind w:firstLine="420"/>
      </w:pPr>
      <w:r>
        <w:rPr>
          <w:rFonts w:hint="eastAsia"/>
        </w:rPr>
        <w:t>[14] 吴苗, 马丽俐, 徐唯, 等. 犀角地黄汤加减对血热型寻常型银屑病的疗效观察[J]. 浙江医学, 2018, 40(9): 998-999.</w:t>
      </w:r>
    </w:p>
    <w:p w14:paraId="03E59AA0">
      <w:pPr>
        <w:pStyle w:val="58"/>
        <w:ind w:firstLine="420"/>
      </w:pPr>
      <w:r>
        <w:rPr>
          <w:rFonts w:hint="eastAsia"/>
        </w:rPr>
        <w:t>[15] 黄港, 晏娟, 邹佳华, 等. 观察犀角地黄汤对血热型银屑病的影响[J]. 江西中医药, 2022, 53(5): 36-39.</w:t>
      </w:r>
    </w:p>
    <w:p w14:paraId="1A699484">
      <w:pPr>
        <w:pStyle w:val="58"/>
        <w:ind w:firstLine="420"/>
      </w:pPr>
      <w:r>
        <w:rPr>
          <w:rFonts w:hint="eastAsia"/>
        </w:rPr>
        <w:t>[16] 樊冬梅, 李芳谷, 纳青青, 等. 犀角地黄汤治疗寻常型银屑病的网络药理学分析及临床验证[J]. 安徽医药, 2024, 28(8): 1667-1675. DOI:10.3969/j.issn.1009-6469.2024.08.040.</w:t>
      </w:r>
    </w:p>
    <w:p w14:paraId="5F733BC1">
      <w:pPr>
        <w:pStyle w:val="58"/>
        <w:ind w:firstLine="420"/>
      </w:pPr>
      <w:r>
        <w:rPr>
          <w:rFonts w:hint="eastAsia"/>
        </w:rPr>
        <w:t>[17] 余其, 陈志伟, 汪洋. 凉血化斑汤加味治疗血热内蕴证寻常型银屑病临床研究[J]. 新中医, 2023, 55(24): 108-111. DOI:10.13457/j.cnki.jncm.2023.24.021.</w:t>
      </w:r>
    </w:p>
    <w:p w14:paraId="62C856F8">
      <w:pPr>
        <w:pStyle w:val="58"/>
        <w:ind w:firstLine="420"/>
      </w:pPr>
      <w:r>
        <w:rPr>
          <w:rFonts w:hint="eastAsia"/>
        </w:rPr>
        <w:t>[18] 马友谊. 凉血消银汤治疗寻常型银屑病血热证临床观察[J]. 新中医, 2015, 47(9): 99-101.</w:t>
      </w:r>
    </w:p>
    <w:p w14:paraId="3ABD4B99">
      <w:pPr>
        <w:pStyle w:val="58"/>
        <w:ind w:firstLine="420"/>
      </w:pPr>
      <w:r>
        <w:rPr>
          <w:rFonts w:hint="eastAsia"/>
        </w:rPr>
        <w:t>[19] 王建湘, 朱明芳, 肖毅良, 等. 竹黄颗粒剂治疗寻常性银屑病120例临床观察[J]. 中国中西医结合皮肤性病学杂志, 2005, 4(3): 60-61.</w:t>
      </w:r>
    </w:p>
    <w:p w14:paraId="0B0A0ED1">
      <w:pPr>
        <w:pStyle w:val="58"/>
        <w:ind w:firstLine="420"/>
      </w:pPr>
      <w:r>
        <w:rPr>
          <w:rFonts w:hint="eastAsia"/>
        </w:rPr>
        <w:t>[20] 杨志波, 欧阳恒. 竹黄颗粒剂治疗银屑病的临床研究[J]. 中国中医药信息杂志, 2001, 8(1): 47-48.</w:t>
      </w:r>
    </w:p>
    <w:p w14:paraId="1BE7206D">
      <w:pPr>
        <w:pStyle w:val="58"/>
        <w:ind w:firstLine="420"/>
      </w:pPr>
      <w:r>
        <w:rPr>
          <w:rFonts w:hint="eastAsia"/>
        </w:rPr>
        <w:t>[21] 郑雯, 李刚刚, 刘清民, 等. 复方青黛胶囊治疗寻常型银屑病疗效及安全性Meta分析[J]. 中国中西医结合皮肤性病学杂志, 2020, 19(6): 540-545. DOI:10.3969/j.issn.1672-0709.2020.06.011.</w:t>
      </w:r>
    </w:p>
    <w:p w14:paraId="0CD3A76E">
      <w:pPr>
        <w:pStyle w:val="58"/>
        <w:ind w:firstLine="420"/>
      </w:pPr>
      <w:r>
        <w:rPr>
          <w:rFonts w:hint="eastAsia"/>
        </w:rPr>
        <w:t>[22] 蔺莉, 闫小宁, 李文彬, 等. 中成药复方制剂联合常规治疗用于寻常型银屑病疗效与安全性的贝叶斯网状Meta分析[J]. 中国药房, 2021, 32(6): 750-757. DOI:10.6039/j.issn.1001-0408.2021.06.18.</w:t>
      </w:r>
    </w:p>
    <w:p w14:paraId="2ECAD26C">
      <w:pPr>
        <w:pStyle w:val="58"/>
        <w:ind w:firstLine="420"/>
      </w:pPr>
      <w:r>
        <w:rPr>
          <w:rFonts w:hint="eastAsia"/>
        </w:rPr>
        <w:t>[23] 欧阳奕瑜, 喻靖傑, 官科汶, 等. 消银颗粒联合常规疗法治疗寻常型银屑病的系统评价与Meta分析[J]. 中药新药与临床药理, 2023, 34(3): 420-427. DOI:10.19378/j.issn.1003-9783.2023.03.018.</w:t>
      </w:r>
    </w:p>
    <w:p w14:paraId="35F73A33">
      <w:pPr>
        <w:pStyle w:val="58"/>
        <w:ind w:firstLine="420"/>
      </w:pPr>
      <w:r>
        <w:rPr>
          <w:rFonts w:hint="eastAsia"/>
        </w:rPr>
        <w:t>[24] 喻靖傑, 李子晴, 何泽慧, 等. 银屑灵片及其优化方治疗寻常型银屑病的疗效及安全性的Meta分析[J]. 中药新药与临床药理, 2021, 32(7): 1048-1054. DOI:10.19378/j.issn.1003-9783.2021.07.021.</w:t>
      </w:r>
    </w:p>
    <w:p w14:paraId="68807C82">
      <w:pPr>
        <w:pStyle w:val="58"/>
        <w:ind w:firstLine="420"/>
      </w:pPr>
      <w:r>
        <w:rPr>
          <w:rFonts w:hint="eastAsia"/>
        </w:rPr>
        <w:t>[25] Li N, Zhao W, Xing J, et al. Chinese herbal Pulian ointment in treating psoriasis vulgaris of blood-heat syndrome: a multi-center, double-blind, randomized, placebo-controlled trial[J]. BMC Complementary and Alternative Medicine, 2017, 17(1): 264. DOI:10.1186/s12906-017-1631-5.</w:t>
      </w:r>
    </w:p>
    <w:p w14:paraId="24357A18">
      <w:pPr>
        <w:pStyle w:val="58"/>
        <w:ind w:firstLine="420"/>
      </w:pPr>
      <w:r>
        <w:rPr>
          <w:rFonts w:hint="eastAsia"/>
        </w:rPr>
        <w:t>[26] Zhou N, Bai YP, Man XH, et al. Effect of new Pulian Ointment in treating psoriasis of blood-heat syndrome: a randomized controlled trial[J]. Chinese Journal of Integrative Medicine, 2009, 15(6): 409-414. DOI:10.1007/s11655-009-0409-0.</w:t>
      </w:r>
    </w:p>
    <w:p w14:paraId="3299AFA7">
      <w:pPr>
        <w:pStyle w:val="58"/>
        <w:ind w:firstLine="420"/>
      </w:pPr>
      <w:r>
        <w:rPr>
          <w:rFonts w:hint="eastAsia"/>
        </w:rPr>
        <w:t>[27] 黄玉华, 董亦秋. 普连膏治疗银屑病血热型疗效观察[J]. 实用中医药杂志, 2015, 31(2): 141-142.</w:t>
      </w:r>
    </w:p>
    <w:p w14:paraId="4CF477B4">
      <w:pPr>
        <w:pStyle w:val="58"/>
        <w:ind w:firstLine="420"/>
      </w:pPr>
      <w:r>
        <w:rPr>
          <w:rFonts w:hint="eastAsia"/>
        </w:rPr>
        <w:t>[28] 王菲菲, 刘久利, 钱佳丽, 等. 当归饮子联合卡泊三醇软膏治疗血燥型银屑病的临床疗效及对免疫炎性因子的影响[J]. 中国中西医结合皮肤性病学杂志, 2023, 22(2): 144-147.</w:t>
      </w:r>
    </w:p>
    <w:p w14:paraId="59A10CA8">
      <w:pPr>
        <w:pStyle w:val="58"/>
        <w:ind w:firstLine="420"/>
      </w:pPr>
      <w:r>
        <w:rPr>
          <w:rFonts w:hint="eastAsia"/>
        </w:rPr>
        <w:t>[29] 许孟月, 左永杰, 刘红霞. 润燥止痒胶囊联合常规疗法治疗寻常型银屑病的系统评价[J]. 中国医院用药评价与分析, 2022, 22(12): 1507-1512. DOI:10.14009/j.issn.1672-2124.2022.12.018.</w:t>
      </w:r>
    </w:p>
    <w:p w14:paraId="126F61D3">
      <w:pPr>
        <w:pStyle w:val="58"/>
        <w:ind w:firstLine="420"/>
      </w:pPr>
      <w:r>
        <w:rPr>
          <w:rFonts w:hint="eastAsia"/>
        </w:rPr>
        <w:t>[30] 王星星, 吴卿, 马晓红, 等. 火针治疗寻常型银屑病有效性与安全性Meta分析[J]. 针灸临床杂志, 2019, 35(11): 53-60.</w:t>
      </w:r>
    </w:p>
    <w:p w14:paraId="5608987E">
      <w:pPr>
        <w:pStyle w:val="58"/>
        <w:ind w:firstLine="420"/>
      </w:pPr>
      <w:r>
        <w:rPr>
          <w:rFonts w:hint="eastAsia"/>
        </w:rPr>
        <w:t>[31] 刘小会. 三黄洗剂联合卡泊三醇治疗寻常性银屑病临床观察[J]. 实用中医药杂志, 2024, 40(4): 722-724.</w:t>
      </w:r>
    </w:p>
    <w:p w14:paraId="22CF067F">
      <w:pPr>
        <w:pStyle w:val="58"/>
        <w:ind w:firstLine="420"/>
      </w:pPr>
      <w:r>
        <w:rPr>
          <w:rFonts w:hint="eastAsia"/>
        </w:rPr>
        <w:t>[32] 陈励. 桃红四物汤加减治疗银屑病40例临床观察[J]. 光明中医, 2009, 24(6): 1078-1079.</w:t>
      </w:r>
    </w:p>
    <w:p w14:paraId="7B38FF1D">
      <w:pPr>
        <w:pStyle w:val="58"/>
        <w:ind w:firstLine="420"/>
      </w:pPr>
      <w:r>
        <w:rPr>
          <w:rFonts w:hint="eastAsia"/>
        </w:rPr>
        <w:t>[33] 宗世琴, 付勇刚, 希茜, 等. 刺络拔罐联合中药内服治疗血瘀型寻常型银屑病的效果观察[J]. 中医药临床杂志, 2020, 32(8): 1572-1575.</w:t>
      </w:r>
    </w:p>
    <w:p w14:paraId="549FF897">
      <w:pPr>
        <w:pStyle w:val="58"/>
        <w:ind w:firstLine="420"/>
      </w:pPr>
      <w:r>
        <w:rPr>
          <w:rFonts w:hint="eastAsia"/>
        </w:rPr>
        <w:t>[34] 陈朝霞, 李萍, 张广中, 等. 艾灸治疗血瘀证斑块型银屑病：随机对照研究[J]. 中国针灸, 2021, 41(7): 762-766. DOI:10.13703/j.0255-2930.20200907-0004.</w:t>
      </w:r>
    </w:p>
    <w:p w14:paraId="181098D7">
      <w:pPr>
        <w:pStyle w:val="58"/>
        <w:ind w:firstLine="420"/>
      </w:pPr>
      <w:r>
        <w:rPr>
          <w:rFonts w:hint="eastAsia"/>
        </w:rPr>
        <w:t>[35] 韩暄, 党志博. 艾灸联合窄谱中波紫外线照射治疗寻常型银屑病临床研究[J]. 中医学报, 2014, 29(4): 601-602.</w:t>
      </w:r>
    </w:p>
    <w:bookmarkEnd w:id="77"/>
    <w:p w14:paraId="4FC43DBB">
      <w:pPr>
        <w:pStyle w:val="58"/>
        <w:ind w:firstLine="0" w:firstLineChars="0"/>
        <w:jc w:val="center"/>
      </w:pPr>
      <w:bookmarkStart w:id="78" w:name="BookMark8"/>
      <w:r>
        <w:drawing>
          <wp:inline distT="0" distB="0" distL="0" distR="0">
            <wp:extent cx="1485900" cy="317500"/>
            <wp:effectExtent l="19050" t="0" r="0" b="0"/>
            <wp:docPr id="4" name="图片 4"/>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8"/>
                    <a:stretch>
                      <a:fillRect/>
                    </a:stretch>
                  </pic:blipFill>
                  <pic:spPr>
                    <a:xfrm>
                      <a:off x="0" y="0"/>
                      <a:ext cx="1485900" cy="317500"/>
                    </a:xfrm>
                    <a:prstGeom prst="rect">
                      <a:avLst/>
                    </a:prstGeom>
                  </pic:spPr>
                </pic:pic>
              </a:graphicData>
            </a:graphic>
          </wp:inline>
        </w:drawing>
      </w:r>
      <w:bookmarkEnd w:id="78"/>
    </w:p>
    <w:sectPr>
      <w:pgSz w:w="11906" w:h="16838"/>
      <w:pgMar w:top="1928" w:right="1134" w:bottom="1134" w:left="1134" w:header="1418" w:footer="1134" w:gutter="284"/>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DE196">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F7D57">
    <w:pPr>
      <w:pStyle w:val="19"/>
    </w:pPr>
    <w:r>
      <w:fldChar w:fldCharType="begin"/>
    </w:r>
    <w:r>
      <w:instrText xml:space="preserve">PAGE   \* MERGEFORMAT</w:instrText>
    </w:r>
    <w:r>
      <w:fldChar w:fldCharType="separate"/>
    </w:r>
    <w:r>
      <w:rPr>
        <w:lang w:val="zh-CN"/>
      </w:rPr>
      <w:t>10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6A6BE">
    <w:pPr>
      <w:pStyle w:val="19"/>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348DE">
    <w:pPr>
      <w:pStyle w:val="54"/>
    </w:pPr>
    <w:r>
      <w:fldChar w:fldCharType="begin"/>
    </w:r>
    <w:r>
      <w:instrText xml:space="preserve">PAGE   \* MERGEFORMAT</w:instrText>
    </w:r>
    <w:r>
      <w:fldChar w:fldCharType="separate"/>
    </w:r>
    <w:r>
      <w:rPr>
        <w:lang w:val="zh-CN"/>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9FBF4">
    <w:pPr>
      <w:pStyle w:val="20"/>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7732A">
    <w:pPr>
      <w:pStyle w:val="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C869E">
    <w:pPr>
      <w:pStyle w:val="20"/>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AE4FD">
    <w:pPr>
      <w:pStyle w:val="63"/>
    </w:pPr>
    <w:r>
      <w:fldChar w:fldCharType="begin"/>
    </w:r>
    <w:r>
      <w:instrText xml:space="preserve"> STYLEREF  标准文件_文件编号  \* MERGEFORMAT </w:instrText>
    </w:r>
    <w:r>
      <w:fldChar w:fldCharType="separate"/>
    </w:r>
    <w:r>
      <w:t>T/HAICWMXXXX—2026</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B64DA">
    <w:pPr>
      <w:pStyle w:val="20"/>
      <w:jc w:val="right"/>
    </w:pPr>
    <w:r>
      <w:fldChar w:fldCharType="begin"/>
    </w:r>
    <w:r>
      <w:instrText xml:space="preserve"> STYLEREF  标准文件_文件编号  \* MERGEFORMAT </w:instrText>
    </w:r>
    <w:r>
      <w:fldChar w:fldCharType="separate"/>
    </w:r>
    <w:r>
      <w:t>T/HAICWMXXXX—2026</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6"/>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1"/>
      <w:suff w:val="nothing"/>
      <w:lvlText w:val="%1%2.%3　"/>
      <w:lvlJc w:val="left"/>
      <w:pPr>
        <w:ind w:left="0" w:firstLine="0"/>
      </w:pPr>
    </w:lvl>
    <w:lvl w:ilvl="3" w:tentative="0">
      <w:start w:val="1"/>
      <w:numFmt w:val="decimal"/>
      <w:pStyle w:val="120"/>
      <w:suff w:val="nothing"/>
      <w:lvlText w:val="%1%2.%3.%4　"/>
      <w:lvlJc w:val="left"/>
      <w:pPr>
        <w:ind w:left="0" w:firstLine="0"/>
      </w:pPr>
    </w:lvl>
    <w:lvl w:ilvl="4" w:tentative="0">
      <w:start w:val="1"/>
      <w:numFmt w:val="decimal"/>
      <w:pStyle w:val="155"/>
      <w:suff w:val="nothing"/>
      <w:lvlText w:val="%1%2.%3.%4.%5　"/>
      <w:lvlJc w:val="left"/>
      <w:pPr>
        <w:ind w:left="0" w:firstLine="0"/>
      </w:pPr>
    </w:lvl>
    <w:lvl w:ilvl="5" w:tentative="0">
      <w:start w:val="1"/>
      <w:numFmt w:val="decimal"/>
      <w:pStyle w:val="157"/>
      <w:suff w:val="nothing"/>
      <w:lvlText w:val="%1%2.%3.%4.%5.%6　"/>
      <w:lvlJc w:val="left"/>
      <w:pPr>
        <w:ind w:left="0" w:firstLine="0"/>
      </w:pPr>
    </w:lvl>
    <w:lvl w:ilvl="6" w:tentative="0">
      <w:start w:val="1"/>
      <w:numFmt w:val="decimal"/>
      <w:pStyle w:val="160"/>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2"/>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1"/>
      <w:lvlText w:val="%1"/>
      <w:lvlJc w:val="left"/>
      <w:pPr>
        <w:ind w:left="425" w:hanging="425"/>
      </w:pPr>
      <w:rPr>
        <w:rFonts w:hint="eastAsia"/>
      </w:rPr>
    </w:lvl>
    <w:lvl w:ilvl="1" w:tentative="0">
      <w:start w:val="1"/>
      <w:numFmt w:val="decimal"/>
      <w:pStyle w:val="202"/>
      <w:suff w:val="nothing"/>
      <w:lvlText w:val="%10.%2 "/>
      <w:lvlJc w:val="left"/>
      <w:pPr>
        <w:ind w:left="0" w:firstLine="0"/>
      </w:pPr>
      <w:rPr>
        <w:rFonts w:hint="eastAsia" w:ascii="黑体" w:eastAsia="黑体" w:hAnsiTheme="minorHAnsi"/>
        <w:b w:val="0"/>
        <w:i w:val="0"/>
        <w:sz w:val="21"/>
      </w:rPr>
    </w:lvl>
    <w:lvl w:ilvl="2" w:tentative="0">
      <w:start w:val="1"/>
      <w:numFmt w:val="decimal"/>
      <w:pStyle w:val="203"/>
      <w:suff w:val="nothing"/>
      <w:lvlText w:val="%10.%2.%3 "/>
      <w:lvlJc w:val="left"/>
      <w:pPr>
        <w:ind w:left="0" w:firstLine="0"/>
      </w:pPr>
      <w:rPr>
        <w:rFonts w:hint="eastAsia" w:ascii="黑体" w:eastAsia="黑体" w:hAnsiTheme="minorHAnsi"/>
        <w:b w:val="0"/>
        <w:i w:val="0"/>
        <w:sz w:val="21"/>
      </w:rPr>
    </w:lvl>
    <w:lvl w:ilvl="3" w:tentative="0">
      <w:start w:val="1"/>
      <w:numFmt w:val="decimal"/>
      <w:pStyle w:val="204"/>
      <w:suff w:val="nothing"/>
      <w:lvlText w:val="%10.%2.%3.%4 "/>
      <w:lvlJc w:val="left"/>
      <w:pPr>
        <w:ind w:left="0" w:firstLine="0"/>
      </w:pPr>
      <w:rPr>
        <w:rFonts w:hint="eastAsia" w:ascii="黑体" w:eastAsia="黑体" w:hAnsiTheme="minorHAnsi"/>
        <w:b w:val="0"/>
        <w:i w:val="0"/>
        <w:sz w:val="21"/>
      </w:rPr>
    </w:lvl>
    <w:lvl w:ilvl="4" w:tentative="0">
      <w:start w:val="1"/>
      <w:numFmt w:val="decimal"/>
      <w:pStyle w:val="205"/>
      <w:suff w:val="nothing"/>
      <w:lvlText w:val="%10.%2.%3.%4.%5 "/>
      <w:lvlJc w:val="left"/>
      <w:pPr>
        <w:ind w:left="0" w:firstLine="0"/>
      </w:pPr>
      <w:rPr>
        <w:rFonts w:hint="eastAsia" w:ascii="黑体" w:eastAsia="黑体" w:hAnsiTheme="minorHAnsi"/>
        <w:b w:val="0"/>
        <w:i w:val="0"/>
        <w:sz w:val="21"/>
      </w:rPr>
    </w:lvl>
    <w:lvl w:ilvl="5" w:tentative="0">
      <w:start w:val="1"/>
      <w:numFmt w:val="decimal"/>
      <w:pStyle w:val="206"/>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3"/>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9"/>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2"/>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7"/>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4"/>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4"/>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9"/>
      <w:lvlText w:val=""/>
      <w:lvlJc w:val="left"/>
      <w:pPr>
        <w:ind w:left="851" w:hanging="431"/>
      </w:pPr>
      <w:rPr>
        <w:rFonts w:hint="default" w:ascii="Symbol" w:hAnsi="Symbol"/>
        <w:sz w:val="21"/>
      </w:rPr>
    </w:lvl>
    <w:lvl w:ilvl="2" w:tentative="0">
      <w:start w:val="1"/>
      <w:numFmt w:val="bullet"/>
      <w:pStyle w:val="174"/>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3"/>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6"/>
      <w:lvlText w:val="%1)"/>
      <w:lvlJc w:val="left"/>
      <w:pPr>
        <w:tabs>
          <w:tab w:val="left" w:pos="851"/>
        </w:tabs>
        <w:ind w:left="851" w:hanging="426"/>
      </w:pPr>
      <w:rPr>
        <w:rFonts w:hint="eastAsia" w:ascii="宋体" w:hAnsi="Times New Roman" w:eastAsia="宋体"/>
        <w:sz w:val="21"/>
      </w:rPr>
    </w:lvl>
    <w:lvl w:ilvl="1" w:tentative="0">
      <w:start w:val="1"/>
      <w:numFmt w:val="decimal"/>
      <w:pStyle w:val="111"/>
      <w:lvlText w:val="%2)"/>
      <w:lvlJc w:val="left"/>
      <w:pPr>
        <w:tabs>
          <w:tab w:val="left" w:pos="1276"/>
        </w:tabs>
        <w:ind w:left="1276" w:hanging="425"/>
      </w:pPr>
      <w:rPr>
        <w:rFonts w:hint="eastAsia" w:ascii="宋体" w:hAnsi="Times New Roman" w:eastAsia="宋体"/>
        <w:sz w:val="21"/>
      </w:rPr>
    </w:lvl>
    <w:lvl w:ilvl="2" w:tentative="0">
      <w:start w:val="1"/>
      <w:numFmt w:val="decimal"/>
      <w:pStyle w:val="119"/>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200"/>
      <w:lvlText w:val="%1"/>
      <w:lvlJc w:val="left"/>
      <w:pPr>
        <w:ind w:left="420" w:hanging="420"/>
      </w:pPr>
      <w:rPr>
        <w:rFonts w:hint="eastAsia"/>
      </w:rPr>
    </w:lvl>
    <w:lvl w:ilvl="1" w:tentative="0">
      <w:start w:val="1"/>
      <w:numFmt w:val="decimal"/>
      <w:pStyle w:val="85"/>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5"/>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8"/>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5"/>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6"/>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1"/>
      <w:suff w:val="space"/>
      <w:lvlText w:val="%1"/>
      <w:lvlJc w:val="left"/>
      <w:pPr>
        <w:ind w:left="425" w:hanging="425"/>
      </w:pPr>
      <w:rPr>
        <w:rFonts w:hint="eastAsia"/>
      </w:rPr>
    </w:lvl>
    <w:lvl w:ilvl="1" w:tentative="0">
      <w:start w:val="1"/>
      <w:numFmt w:val="decimal"/>
      <w:pStyle w:val="79"/>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3"/>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7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4"/>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91"/>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8"/>
      <w:suff w:val="nothing"/>
      <w:lvlText w:val="附录%1"/>
      <w:lvlJc w:val="left"/>
      <w:pPr>
        <w:ind w:left="0" w:firstLine="0"/>
      </w:pPr>
      <w:rPr>
        <w:rFonts w:hint="eastAsia"/>
        <w:spacing w:val="100"/>
      </w:rPr>
    </w:lvl>
    <w:lvl w:ilvl="1" w:tentative="0">
      <w:start w:val="1"/>
      <w:numFmt w:val="decimal"/>
      <w:pStyle w:val="80"/>
      <w:suff w:val="nothing"/>
      <w:lvlText w:val="%1.%2　"/>
      <w:lvlJc w:val="left"/>
      <w:pPr>
        <w:ind w:left="0" w:firstLine="0"/>
      </w:pPr>
      <w:rPr>
        <w:rFonts w:hint="eastAsia" w:ascii="黑体" w:eastAsia="黑体"/>
        <w:b w:val="0"/>
        <w:i w:val="0"/>
        <w:sz w:val="21"/>
      </w:rPr>
    </w:lvl>
    <w:lvl w:ilvl="2" w:tentative="0">
      <w:start w:val="1"/>
      <w:numFmt w:val="decimal"/>
      <w:pStyle w:val="81"/>
      <w:suff w:val="nothing"/>
      <w:lvlText w:val="%1.%2.%3　"/>
      <w:lvlJc w:val="left"/>
      <w:pPr>
        <w:ind w:left="0" w:firstLine="0"/>
      </w:pPr>
      <w:rPr>
        <w:rFonts w:hint="eastAsia" w:ascii="黑体" w:eastAsia="黑体"/>
        <w:b w:val="0"/>
        <w:i w:val="0"/>
        <w:sz w:val="21"/>
      </w:rPr>
    </w:lvl>
    <w:lvl w:ilvl="3" w:tentative="0">
      <w:start w:val="1"/>
      <w:numFmt w:val="decimal"/>
      <w:pStyle w:val="83"/>
      <w:suff w:val="nothing"/>
      <w:lvlText w:val="%1.%2.%3.%4　"/>
      <w:lvlJc w:val="left"/>
      <w:pPr>
        <w:ind w:left="0" w:firstLine="0"/>
      </w:pPr>
      <w:rPr>
        <w:rFonts w:hint="eastAsia" w:ascii="黑体" w:eastAsia="黑体"/>
        <w:b w:val="0"/>
        <w:i w:val="0"/>
        <w:sz w:val="21"/>
      </w:rPr>
    </w:lvl>
    <w:lvl w:ilvl="4" w:tentative="0">
      <w:start w:val="1"/>
      <w:numFmt w:val="decimal"/>
      <w:pStyle w:val="84"/>
      <w:suff w:val="nothing"/>
      <w:lvlText w:val="%1.%2.%3.%4.%5　"/>
      <w:lvlJc w:val="left"/>
      <w:pPr>
        <w:ind w:left="0" w:firstLine="0"/>
      </w:pPr>
      <w:rPr>
        <w:rFonts w:hint="eastAsia" w:ascii="黑体" w:eastAsia="黑体"/>
        <w:b w:val="0"/>
        <w:i w:val="0"/>
        <w:sz w:val="21"/>
      </w:rPr>
    </w:lvl>
    <w:lvl w:ilvl="5" w:tentative="0">
      <w:start w:val="1"/>
      <w:numFmt w:val="decimal"/>
      <w:pStyle w:val="86"/>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90"/>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9"/>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5"/>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4"/>
      <w:suff w:val="nothing"/>
      <w:lvlText w:val="%1"/>
      <w:lvlJc w:val="left"/>
      <w:pPr>
        <w:ind w:left="0" w:firstLine="0"/>
      </w:pPr>
      <w:rPr>
        <w:rFonts w:hint="eastAsia"/>
      </w:rPr>
    </w:lvl>
    <w:lvl w:ilvl="1" w:tentative="0">
      <w:start w:val="1"/>
      <w:numFmt w:val="decimal"/>
      <w:pStyle w:val="106"/>
      <w:suff w:val="nothing"/>
      <w:lvlText w:val="%1%2　"/>
      <w:lvlJc w:val="left"/>
      <w:pPr>
        <w:ind w:left="0" w:firstLine="0"/>
      </w:pPr>
      <w:rPr>
        <w:rFonts w:hint="eastAsia" w:ascii="黑体" w:eastAsia="黑体"/>
        <w:b w:val="0"/>
        <w:i w:val="0"/>
        <w:sz w:val="21"/>
      </w:rPr>
    </w:lvl>
    <w:lvl w:ilvl="2" w:tentative="0">
      <w:start w:val="1"/>
      <w:numFmt w:val="decimal"/>
      <w:pStyle w:val="107"/>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67"/>
      <w:suff w:val="nothing"/>
      <w:lvlText w:val="%1%2.%3.%4　"/>
      <w:lvlJc w:val="left"/>
      <w:pPr>
        <w:ind w:left="0" w:firstLine="0"/>
      </w:pPr>
      <w:rPr>
        <w:rFonts w:hint="eastAsia" w:ascii="黑体" w:eastAsia="黑体"/>
        <w:b w:val="0"/>
        <w:i w:val="0"/>
        <w:sz w:val="21"/>
      </w:rPr>
    </w:lvl>
    <w:lvl w:ilvl="4" w:tentative="0">
      <w:start w:val="1"/>
      <w:numFmt w:val="decimal"/>
      <w:pStyle w:val="96"/>
      <w:suff w:val="nothing"/>
      <w:lvlText w:val="%1%2.%3.%4.%5　"/>
      <w:lvlJc w:val="left"/>
      <w:pPr>
        <w:ind w:left="0" w:firstLine="0"/>
      </w:pPr>
      <w:rPr>
        <w:rFonts w:hint="eastAsia" w:ascii="黑体" w:eastAsia="黑体"/>
        <w:b w:val="0"/>
        <w:i w:val="0"/>
        <w:sz w:val="21"/>
      </w:rPr>
    </w:lvl>
    <w:lvl w:ilvl="5" w:tentative="0">
      <w:start w:val="1"/>
      <w:numFmt w:val="decimal"/>
      <w:pStyle w:val="100"/>
      <w:suff w:val="nothing"/>
      <w:lvlText w:val="%1%2.%3.%4.%5.%6　"/>
      <w:lvlJc w:val="left"/>
      <w:pPr>
        <w:ind w:left="0" w:firstLine="0"/>
      </w:pPr>
      <w:rPr>
        <w:rFonts w:hint="eastAsia" w:ascii="黑体" w:eastAsia="黑体"/>
        <w:b w:val="0"/>
        <w:i w:val="0"/>
        <w:sz w:val="21"/>
      </w:rPr>
    </w:lvl>
    <w:lvl w:ilvl="6" w:tentative="0">
      <w:start w:val="1"/>
      <w:numFmt w:val="decimal"/>
      <w:pStyle w:val="105"/>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81"/>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7"/>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1"/>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attachedTemplate r:id="rId1"/>
  <w:documentProtection w:edit="forms" w:enforcement="1" w:cryptProviderType="rsaFull" w:cryptAlgorithmClass="hash" w:cryptAlgorithmType="typeAny" w:cryptAlgorithmSid="4" w:cryptSpinCount="50000" w:hash="PUzjxOGb27qiO95IVCOhfj4iEbU=" w:salt="N6LV85qvbF3ZPxZ7Dr+yTQ=="/>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3B1"/>
    <w:rsid w:val="0000040A"/>
    <w:rsid w:val="00000A94"/>
    <w:rsid w:val="00001972"/>
    <w:rsid w:val="00001D9A"/>
    <w:rsid w:val="00007B3A"/>
    <w:rsid w:val="000107E0"/>
    <w:rsid w:val="00011FDE"/>
    <w:rsid w:val="00012FFD"/>
    <w:rsid w:val="00014162"/>
    <w:rsid w:val="00014340"/>
    <w:rsid w:val="000148B9"/>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4279"/>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1CAF"/>
    <w:rsid w:val="000E4C9E"/>
    <w:rsid w:val="000E6FD7"/>
    <w:rsid w:val="000E7144"/>
    <w:rsid w:val="000F06E1"/>
    <w:rsid w:val="000F0E3C"/>
    <w:rsid w:val="000F19D5"/>
    <w:rsid w:val="000F4050"/>
    <w:rsid w:val="000F4AEA"/>
    <w:rsid w:val="000F67E9"/>
    <w:rsid w:val="00102F16"/>
    <w:rsid w:val="00104926"/>
    <w:rsid w:val="00113B1E"/>
    <w:rsid w:val="0011711C"/>
    <w:rsid w:val="0011717F"/>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77BD8"/>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48A9"/>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06586"/>
    <w:rsid w:val="00210B15"/>
    <w:rsid w:val="002142EA"/>
    <w:rsid w:val="00215ADD"/>
    <w:rsid w:val="002204BB"/>
    <w:rsid w:val="00221B79"/>
    <w:rsid w:val="00221C6B"/>
    <w:rsid w:val="002253A1"/>
    <w:rsid w:val="00225CF8"/>
    <w:rsid w:val="0022794E"/>
    <w:rsid w:val="00233D64"/>
    <w:rsid w:val="0023482A"/>
    <w:rsid w:val="002359CB"/>
    <w:rsid w:val="00241C66"/>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43D9"/>
    <w:rsid w:val="00281BB8"/>
    <w:rsid w:val="00281E9E"/>
    <w:rsid w:val="00282405"/>
    <w:rsid w:val="00285170"/>
    <w:rsid w:val="00285361"/>
    <w:rsid w:val="002856BB"/>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573B1"/>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4E1"/>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1B74"/>
    <w:rsid w:val="00432DAA"/>
    <w:rsid w:val="00434305"/>
    <w:rsid w:val="00435DF7"/>
    <w:rsid w:val="004361C1"/>
    <w:rsid w:val="0043741A"/>
    <w:rsid w:val="0044083F"/>
    <w:rsid w:val="00441AE7"/>
    <w:rsid w:val="00445574"/>
    <w:rsid w:val="004467FB"/>
    <w:rsid w:val="00452D6B"/>
    <w:rsid w:val="00454484"/>
    <w:rsid w:val="0045517B"/>
    <w:rsid w:val="00461C0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092D"/>
    <w:rsid w:val="00533D04"/>
    <w:rsid w:val="00534804"/>
    <w:rsid w:val="00534BDF"/>
    <w:rsid w:val="005354EA"/>
    <w:rsid w:val="0053585F"/>
    <w:rsid w:val="00535EC4"/>
    <w:rsid w:val="00535ED9"/>
    <w:rsid w:val="0053692B"/>
    <w:rsid w:val="00541853"/>
    <w:rsid w:val="00543BDA"/>
    <w:rsid w:val="005441CC"/>
    <w:rsid w:val="005446B2"/>
    <w:rsid w:val="005479DA"/>
    <w:rsid w:val="00547BCC"/>
    <w:rsid w:val="0055013B"/>
    <w:rsid w:val="00551F6F"/>
    <w:rsid w:val="00555044"/>
    <w:rsid w:val="00561475"/>
    <w:rsid w:val="00562308"/>
    <w:rsid w:val="0056487B"/>
    <w:rsid w:val="00564FB9"/>
    <w:rsid w:val="00565F61"/>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3572"/>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34C"/>
    <w:rsid w:val="00672BFD"/>
    <w:rsid w:val="0067476D"/>
    <w:rsid w:val="006770F4"/>
    <w:rsid w:val="00677A84"/>
    <w:rsid w:val="0068026D"/>
    <w:rsid w:val="00680A27"/>
    <w:rsid w:val="006816A4"/>
    <w:rsid w:val="006819B8"/>
    <w:rsid w:val="006840A6"/>
    <w:rsid w:val="006850CD"/>
    <w:rsid w:val="00685AAB"/>
    <w:rsid w:val="0068711B"/>
    <w:rsid w:val="00691EBE"/>
    <w:rsid w:val="00693962"/>
    <w:rsid w:val="0069598D"/>
    <w:rsid w:val="006A07AA"/>
    <w:rsid w:val="006A25E5"/>
    <w:rsid w:val="006A2B46"/>
    <w:rsid w:val="006A336D"/>
    <w:rsid w:val="006A37B9"/>
    <w:rsid w:val="006B2672"/>
    <w:rsid w:val="006B4D01"/>
    <w:rsid w:val="006B54BF"/>
    <w:rsid w:val="006B5F44"/>
    <w:rsid w:val="006B5F90"/>
    <w:rsid w:val="006B62E4"/>
    <w:rsid w:val="006C1BBA"/>
    <w:rsid w:val="006C2079"/>
    <w:rsid w:val="006C5A62"/>
    <w:rsid w:val="006C5D68"/>
    <w:rsid w:val="006C6976"/>
    <w:rsid w:val="006C6DD0"/>
    <w:rsid w:val="006C7A62"/>
    <w:rsid w:val="006D04EA"/>
    <w:rsid w:val="006D16C4"/>
    <w:rsid w:val="006D3E96"/>
    <w:rsid w:val="006D4515"/>
    <w:rsid w:val="006D4BB1"/>
    <w:rsid w:val="006D4BEB"/>
    <w:rsid w:val="006D6593"/>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3BE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4267"/>
    <w:rsid w:val="007651FC"/>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0927"/>
    <w:rsid w:val="008013A4"/>
    <w:rsid w:val="008027CE"/>
    <w:rsid w:val="00802F42"/>
    <w:rsid w:val="00804383"/>
    <w:rsid w:val="00804BB7"/>
    <w:rsid w:val="00804D41"/>
    <w:rsid w:val="00807C9D"/>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528A"/>
    <w:rsid w:val="008F70BD"/>
    <w:rsid w:val="008F788F"/>
    <w:rsid w:val="008F7EA2"/>
    <w:rsid w:val="00902722"/>
    <w:rsid w:val="009027BC"/>
    <w:rsid w:val="00903834"/>
    <w:rsid w:val="009062E6"/>
    <w:rsid w:val="00911BE5"/>
    <w:rsid w:val="00913CA9"/>
    <w:rsid w:val="009145AE"/>
    <w:rsid w:val="009146CE"/>
    <w:rsid w:val="00914CA7"/>
    <w:rsid w:val="00915C3E"/>
    <w:rsid w:val="009161A8"/>
    <w:rsid w:val="009245AE"/>
    <w:rsid w:val="009245F5"/>
    <w:rsid w:val="009249EC"/>
    <w:rsid w:val="009273B3"/>
    <w:rsid w:val="009305B5"/>
    <w:rsid w:val="00934939"/>
    <w:rsid w:val="009378DD"/>
    <w:rsid w:val="009429D5"/>
    <w:rsid w:val="00942BF1"/>
    <w:rsid w:val="00945180"/>
    <w:rsid w:val="00945428"/>
    <w:rsid w:val="0094607B"/>
    <w:rsid w:val="00953604"/>
    <w:rsid w:val="0095496B"/>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379E"/>
    <w:rsid w:val="009E4A58"/>
    <w:rsid w:val="009E5A2D"/>
    <w:rsid w:val="009E5AB2"/>
    <w:rsid w:val="009E6219"/>
    <w:rsid w:val="009F03B3"/>
    <w:rsid w:val="009F33BD"/>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114C"/>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D64F9"/>
    <w:rsid w:val="00AE070A"/>
    <w:rsid w:val="00AE101C"/>
    <w:rsid w:val="00AE2A69"/>
    <w:rsid w:val="00AE37E5"/>
    <w:rsid w:val="00AE4D3B"/>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3A37"/>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47F"/>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148"/>
    <w:rsid w:val="00C13319"/>
    <w:rsid w:val="00C13EE9"/>
    <w:rsid w:val="00C20F72"/>
    <w:rsid w:val="00C21540"/>
    <w:rsid w:val="00C21906"/>
    <w:rsid w:val="00C21BFA"/>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97924"/>
    <w:rsid w:val="00C97BA5"/>
    <w:rsid w:val="00CA2D1B"/>
    <w:rsid w:val="00CA375D"/>
    <w:rsid w:val="00CA662A"/>
    <w:rsid w:val="00CA7AFD"/>
    <w:rsid w:val="00CA7C3C"/>
    <w:rsid w:val="00CB0189"/>
    <w:rsid w:val="00CB06A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015"/>
    <w:rsid w:val="00D466AE"/>
    <w:rsid w:val="00D4734F"/>
    <w:rsid w:val="00D51BF3"/>
    <w:rsid w:val="00D66846"/>
    <w:rsid w:val="00D675FB"/>
    <w:rsid w:val="00D71F25"/>
    <w:rsid w:val="00D72A9C"/>
    <w:rsid w:val="00D76F2E"/>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3E7A"/>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0DC7"/>
    <w:rsid w:val="00E210B5"/>
    <w:rsid w:val="00E22AC8"/>
    <w:rsid w:val="00E2552F"/>
    <w:rsid w:val="00E3137A"/>
    <w:rsid w:val="00E32CCF"/>
    <w:rsid w:val="00E34A98"/>
    <w:rsid w:val="00E35D1E"/>
    <w:rsid w:val="00E364F9"/>
    <w:rsid w:val="00E365FA"/>
    <w:rsid w:val="00E36789"/>
    <w:rsid w:val="00E427E5"/>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96E18"/>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E0350"/>
    <w:rsid w:val="00EE0719"/>
    <w:rsid w:val="00EE0E80"/>
    <w:rsid w:val="00EE613F"/>
    <w:rsid w:val="00EE7295"/>
    <w:rsid w:val="00EE7869"/>
    <w:rsid w:val="00EF054A"/>
    <w:rsid w:val="00EF3235"/>
    <w:rsid w:val="00EF7E72"/>
    <w:rsid w:val="00F06D37"/>
    <w:rsid w:val="00F07719"/>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C77"/>
    <w:rsid w:val="00F71E22"/>
    <w:rsid w:val="00F72142"/>
    <w:rsid w:val="00F72AE7"/>
    <w:rsid w:val="00F833BA"/>
    <w:rsid w:val="00F84FD0"/>
    <w:rsid w:val="00F859A8"/>
    <w:rsid w:val="00F86159"/>
    <w:rsid w:val="00F86D87"/>
    <w:rsid w:val="00F9108B"/>
    <w:rsid w:val="00F91349"/>
    <w:rsid w:val="00F93A8A"/>
    <w:rsid w:val="00F95248"/>
    <w:rsid w:val="00F956A9"/>
    <w:rsid w:val="00F963ED"/>
    <w:rsid w:val="00F966CF"/>
    <w:rsid w:val="00F96CAE"/>
    <w:rsid w:val="00F97C99"/>
    <w:rsid w:val="00FA39D6"/>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3EF7D55E"/>
    <w:rsid w:val="5EDFC25F"/>
    <w:rsid w:val="5FA4E89F"/>
    <w:rsid w:val="6D9E03A1"/>
    <w:rsid w:val="73DC8C77"/>
    <w:rsid w:val="747BE7B4"/>
    <w:rsid w:val="BFE9CD03"/>
    <w:rsid w:val="F7FFA7BF"/>
    <w:rsid w:val="FFD746C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7"/>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8"/>
    <w:qFormat/>
    <w:uiPriority w:val="0"/>
    <w:pPr>
      <w:keepNext/>
      <w:keepLines/>
      <w:spacing w:before="260" w:after="260" w:line="416" w:lineRule="auto"/>
      <w:outlineLvl w:val="2"/>
    </w:pPr>
    <w:rPr>
      <w:b/>
      <w:bCs/>
      <w:sz w:val="32"/>
      <w:szCs w:val="32"/>
    </w:rPr>
  </w:style>
  <w:style w:type="paragraph" w:styleId="5">
    <w:name w:val="heading 4"/>
    <w:basedOn w:val="1"/>
    <w:next w:val="1"/>
    <w:link w:val="39"/>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0"/>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1"/>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2"/>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3"/>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4"/>
    <w:qFormat/>
    <w:uiPriority w:val="0"/>
    <w:pPr>
      <w:keepNext/>
      <w:keepLines/>
      <w:adjustRightInd/>
      <w:spacing w:before="240" w:after="64" w:line="320" w:lineRule="auto"/>
      <w:outlineLvl w:val="8"/>
    </w:pPr>
    <w:rPr>
      <w:rFonts w:ascii="Arial" w:hAnsi="Arial" w:eastAsia="黑体"/>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caption"/>
    <w:basedOn w:val="1"/>
    <w:next w:val="1"/>
    <w:semiHidden/>
    <w:unhideWhenUsed/>
    <w:qFormat/>
    <w:uiPriority w:val="35"/>
    <w:pPr>
      <w:keepNext/>
      <w:widowControl/>
      <w:adjustRightInd/>
      <w:spacing w:line="240" w:lineRule="auto"/>
    </w:pPr>
    <w:rPr>
      <w:rFonts w:ascii="Times New Roman" w:hAnsi="Times New Roman"/>
      <w:b/>
      <w:bCs/>
      <w:color w:val="000000"/>
      <w:kern w:val="0"/>
      <w:sz w:val="19"/>
      <w:szCs w:val="18"/>
      <w:lang w:eastAsia="en-US"/>
    </w:rPr>
  </w:style>
  <w:style w:type="paragraph" w:styleId="14">
    <w:name w:val="Document Map"/>
    <w:basedOn w:val="1"/>
    <w:link w:val="232"/>
    <w:semiHidden/>
    <w:unhideWhenUsed/>
    <w:qFormat/>
    <w:uiPriority w:val="99"/>
    <w:rPr>
      <w:rFonts w:ascii="宋体"/>
      <w:sz w:val="18"/>
      <w:szCs w:val="18"/>
    </w:rPr>
  </w:style>
  <w:style w:type="paragraph" w:styleId="15">
    <w:name w:val="Body Text"/>
    <w:basedOn w:val="1"/>
    <w:link w:val="88"/>
    <w:qFormat/>
    <w:uiPriority w:val="0"/>
    <w:pPr>
      <w:spacing w:after="120"/>
    </w:pPr>
  </w:style>
  <w:style w:type="paragraph" w:styleId="16">
    <w:name w:val="toc 5"/>
    <w:basedOn w:val="1"/>
    <w:next w:val="1"/>
    <w:autoRedefine/>
    <w:unhideWhenUsed/>
    <w:qFormat/>
    <w:uiPriority w:val="39"/>
    <w:pPr>
      <w:ind w:left="839"/>
    </w:pPr>
    <w:rPr>
      <w:rFonts w:ascii="宋体"/>
    </w:rPr>
  </w:style>
  <w:style w:type="paragraph" w:styleId="17">
    <w:name w:val="toc 3"/>
    <w:basedOn w:val="1"/>
    <w:next w:val="1"/>
    <w:autoRedefine/>
    <w:unhideWhenUsed/>
    <w:qFormat/>
    <w:uiPriority w:val="39"/>
    <w:pPr>
      <w:spacing w:line="300" w:lineRule="exact"/>
      <w:ind w:left="420"/>
    </w:pPr>
    <w:rPr>
      <w:rFonts w:ascii="宋体"/>
    </w:rPr>
  </w:style>
  <w:style w:type="paragraph" w:styleId="18">
    <w:name w:val="Balloon Text"/>
    <w:basedOn w:val="1"/>
    <w:link w:val="47"/>
    <w:semiHidden/>
    <w:unhideWhenUsed/>
    <w:qFormat/>
    <w:uiPriority w:val="99"/>
    <w:rPr>
      <w:sz w:val="18"/>
      <w:szCs w:val="18"/>
    </w:rPr>
  </w:style>
  <w:style w:type="paragraph" w:styleId="19">
    <w:name w:val="footer"/>
    <w:basedOn w:val="1"/>
    <w:link w:val="46"/>
    <w:qFormat/>
    <w:uiPriority w:val="99"/>
    <w:pPr>
      <w:tabs>
        <w:tab w:val="center" w:pos="4153"/>
        <w:tab w:val="right" w:pos="8306"/>
      </w:tabs>
      <w:adjustRightInd/>
      <w:snapToGrid w:val="0"/>
      <w:spacing w:line="240" w:lineRule="auto"/>
      <w:jc w:val="right"/>
    </w:pPr>
    <w:rPr>
      <w:rFonts w:ascii="宋体"/>
      <w:sz w:val="18"/>
      <w:szCs w:val="18"/>
    </w:rPr>
  </w:style>
  <w:style w:type="paragraph" w:styleId="20">
    <w:name w:val="header"/>
    <w:basedOn w:val="1"/>
    <w:link w:val="45"/>
    <w:qFormat/>
    <w:uiPriority w:val="99"/>
    <w:pPr>
      <w:tabs>
        <w:tab w:val="center" w:pos="4153"/>
        <w:tab w:val="right" w:pos="8306"/>
      </w:tabs>
      <w:adjustRightInd/>
      <w:snapToGrid w:val="0"/>
      <w:jc w:val="center"/>
    </w:pPr>
    <w:rPr>
      <w:sz w:val="18"/>
      <w:szCs w:val="18"/>
    </w:rPr>
  </w:style>
  <w:style w:type="paragraph" w:styleId="21">
    <w:name w:val="toc 1"/>
    <w:basedOn w:val="1"/>
    <w:next w:val="1"/>
    <w:autoRedefine/>
    <w:unhideWhenUsed/>
    <w:qFormat/>
    <w:uiPriority w:val="39"/>
    <w:rPr>
      <w:rFonts w:ascii="宋体"/>
    </w:rPr>
  </w:style>
  <w:style w:type="paragraph" w:styleId="22">
    <w:name w:val="toc 4"/>
    <w:basedOn w:val="1"/>
    <w:next w:val="1"/>
    <w:autoRedefine/>
    <w:unhideWhenUsed/>
    <w:qFormat/>
    <w:uiPriority w:val="39"/>
    <w:pPr>
      <w:tabs>
        <w:tab w:val="right" w:leader="dot" w:pos="9344"/>
      </w:tabs>
      <w:spacing w:line="300" w:lineRule="exact"/>
      <w:ind w:left="629"/>
    </w:pPr>
    <w:rPr>
      <w:rFonts w:ascii="宋体"/>
    </w:rPr>
  </w:style>
  <w:style w:type="paragraph" w:styleId="23">
    <w:name w:val="footnote text"/>
    <w:basedOn w:val="1"/>
    <w:next w:val="1"/>
    <w:link w:val="101"/>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4">
    <w:name w:val="toc 6"/>
    <w:basedOn w:val="1"/>
    <w:next w:val="1"/>
    <w:autoRedefine/>
    <w:unhideWhenUsed/>
    <w:qFormat/>
    <w:uiPriority w:val="39"/>
    <w:pPr>
      <w:spacing w:line="300" w:lineRule="exact"/>
      <w:ind w:left="1049"/>
    </w:pPr>
    <w:rPr>
      <w:rFonts w:ascii="宋体"/>
    </w:rPr>
  </w:style>
  <w:style w:type="paragraph" w:styleId="25">
    <w:name w:val="table of figures"/>
    <w:basedOn w:val="1"/>
    <w:next w:val="1"/>
    <w:semiHidden/>
    <w:qFormat/>
    <w:uiPriority w:val="0"/>
    <w:pPr>
      <w:adjustRightInd/>
      <w:spacing w:line="240" w:lineRule="auto"/>
      <w:jc w:val="left"/>
    </w:pPr>
    <w:rPr>
      <w:szCs w:val="24"/>
    </w:rPr>
  </w:style>
  <w:style w:type="paragraph" w:styleId="26">
    <w:name w:val="toc 2"/>
    <w:basedOn w:val="1"/>
    <w:next w:val="1"/>
    <w:autoRedefine/>
    <w:unhideWhenUsed/>
    <w:qFormat/>
    <w:uiPriority w:val="39"/>
    <w:pPr>
      <w:tabs>
        <w:tab w:val="right" w:leader="dot" w:pos="9344"/>
      </w:tabs>
      <w:spacing w:line="300" w:lineRule="exact"/>
      <w:ind w:left="210"/>
    </w:pPr>
    <w:rPr>
      <w:rFonts w:ascii="宋体"/>
    </w:rPr>
  </w:style>
  <w:style w:type="paragraph" w:styleId="27">
    <w:name w:val="Title"/>
    <w:basedOn w:val="1"/>
    <w:link w:val="50"/>
    <w:qFormat/>
    <w:uiPriority w:val="0"/>
    <w:pPr>
      <w:spacing w:before="240" w:after="60"/>
      <w:jc w:val="center"/>
      <w:outlineLvl w:val="0"/>
    </w:pPr>
    <w:rPr>
      <w:rFonts w:ascii="Arial" w:hAnsi="Arial" w:cs="Arial"/>
      <w:b/>
      <w:bCs/>
      <w:sz w:val="32"/>
      <w:szCs w:val="32"/>
    </w:r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qFormat/>
    <w:uiPriority w:val="22"/>
    <w:rPr>
      <w:b/>
      <w:bCs/>
    </w:rPr>
  </w:style>
  <w:style w:type="character" w:styleId="32">
    <w:name w:val="page number"/>
    <w:qFormat/>
    <w:uiPriority w:val="0"/>
    <w:rPr>
      <w:rFonts w:ascii="宋体" w:hAnsi="Times New Roman" w:eastAsia="宋体"/>
      <w:sz w:val="18"/>
    </w:rPr>
  </w:style>
  <w:style w:type="character" w:styleId="33">
    <w:name w:val="Emphasis"/>
    <w:qFormat/>
    <w:uiPriority w:val="20"/>
    <w:rPr>
      <w:i/>
      <w:iCs/>
    </w:rPr>
  </w:style>
  <w:style w:type="character" w:styleId="34">
    <w:name w:val="Hyperlink"/>
    <w:qFormat/>
    <w:uiPriority w:val="99"/>
    <w:rPr>
      <w:rFonts w:ascii="宋体" w:hAnsi="Times New Roman" w:eastAsia="宋体"/>
      <w:color w:val="auto"/>
      <w:spacing w:val="0"/>
      <w:w w:val="100"/>
      <w:position w:val="0"/>
      <w:sz w:val="21"/>
      <w:u w:val="none"/>
      <w:vertAlign w:val="baseline"/>
    </w:rPr>
  </w:style>
  <w:style w:type="character" w:styleId="35">
    <w:name w:val="footnote reference"/>
    <w:semiHidden/>
    <w:qFormat/>
    <w:uiPriority w:val="0"/>
    <w:rPr>
      <w:rFonts w:ascii="宋体" w:hAnsi="宋体" w:eastAsia="宋体" w:cs="Times New Roman"/>
      <w:spacing w:val="0"/>
      <w:sz w:val="18"/>
      <w:vertAlign w:val="superscript"/>
    </w:rPr>
  </w:style>
  <w:style w:type="character" w:customStyle="1" w:styleId="36">
    <w:name w:val="标题 1 字符"/>
    <w:link w:val="2"/>
    <w:qFormat/>
    <w:uiPriority w:val="0"/>
    <w:rPr>
      <w:b/>
      <w:bCs/>
      <w:kern w:val="44"/>
      <w:sz w:val="44"/>
      <w:szCs w:val="44"/>
    </w:rPr>
  </w:style>
  <w:style w:type="character" w:customStyle="1" w:styleId="37">
    <w:name w:val="标题 2 字符"/>
    <w:link w:val="3"/>
    <w:qFormat/>
    <w:uiPriority w:val="0"/>
    <w:rPr>
      <w:rFonts w:ascii="Arial" w:hAnsi="Arial" w:eastAsia="黑体"/>
      <w:b/>
      <w:bCs/>
      <w:kern w:val="2"/>
      <w:sz w:val="32"/>
      <w:szCs w:val="32"/>
    </w:rPr>
  </w:style>
  <w:style w:type="character" w:customStyle="1" w:styleId="38">
    <w:name w:val="标题 3 字符"/>
    <w:link w:val="4"/>
    <w:qFormat/>
    <w:uiPriority w:val="0"/>
    <w:rPr>
      <w:b/>
      <w:bCs/>
      <w:kern w:val="2"/>
      <w:sz w:val="32"/>
      <w:szCs w:val="32"/>
    </w:rPr>
  </w:style>
  <w:style w:type="character" w:customStyle="1" w:styleId="39">
    <w:name w:val="标题 4 字符"/>
    <w:link w:val="5"/>
    <w:qFormat/>
    <w:uiPriority w:val="0"/>
    <w:rPr>
      <w:rFonts w:ascii="Arial" w:hAnsi="Arial" w:eastAsia="黑体"/>
      <w:b/>
      <w:bCs/>
      <w:kern w:val="2"/>
      <w:sz w:val="28"/>
      <w:szCs w:val="28"/>
    </w:rPr>
  </w:style>
  <w:style w:type="character" w:customStyle="1" w:styleId="40">
    <w:name w:val="标题 5 字符"/>
    <w:link w:val="6"/>
    <w:qFormat/>
    <w:uiPriority w:val="0"/>
    <w:rPr>
      <w:b/>
      <w:bCs/>
      <w:kern w:val="2"/>
      <w:sz w:val="28"/>
      <w:szCs w:val="28"/>
    </w:rPr>
  </w:style>
  <w:style w:type="character" w:customStyle="1" w:styleId="41">
    <w:name w:val="标题 6 字符"/>
    <w:link w:val="7"/>
    <w:qFormat/>
    <w:uiPriority w:val="0"/>
    <w:rPr>
      <w:rFonts w:ascii="Arial" w:hAnsi="Arial" w:eastAsia="黑体"/>
      <w:b/>
      <w:bCs/>
      <w:kern w:val="2"/>
      <w:sz w:val="24"/>
      <w:szCs w:val="24"/>
    </w:rPr>
  </w:style>
  <w:style w:type="character" w:customStyle="1" w:styleId="42">
    <w:name w:val="标题 7 字符"/>
    <w:link w:val="8"/>
    <w:qFormat/>
    <w:uiPriority w:val="0"/>
    <w:rPr>
      <w:b/>
      <w:bCs/>
      <w:kern w:val="2"/>
      <w:sz w:val="24"/>
      <w:szCs w:val="24"/>
    </w:rPr>
  </w:style>
  <w:style w:type="character" w:customStyle="1" w:styleId="43">
    <w:name w:val="标题 8 字符"/>
    <w:link w:val="9"/>
    <w:qFormat/>
    <w:uiPriority w:val="0"/>
    <w:rPr>
      <w:rFonts w:ascii="Arial" w:hAnsi="Arial" w:eastAsia="黑体"/>
      <w:kern w:val="2"/>
      <w:sz w:val="24"/>
      <w:szCs w:val="24"/>
    </w:rPr>
  </w:style>
  <w:style w:type="character" w:customStyle="1" w:styleId="44">
    <w:name w:val="标题 9 字符"/>
    <w:link w:val="10"/>
    <w:qFormat/>
    <w:uiPriority w:val="0"/>
    <w:rPr>
      <w:rFonts w:ascii="Arial" w:hAnsi="Arial" w:eastAsia="黑体"/>
      <w:kern w:val="2"/>
      <w:sz w:val="21"/>
      <w:szCs w:val="21"/>
    </w:rPr>
  </w:style>
  <w:style w:type="character" w:customStyle="1" w:styleId="45">
    <w:name w:val="页眉 字符"/>
    <w:link w:val="20"/>
    <w:qFormat/>
    <w:uiPriority w:val="99"/>
    <w:rPr>
      <w:kern w:val="2"/>
      <w:sz w:val="18"/>
      <w:szCs w:val="18"/>
    </w:rPr>
  </w:style>
  <w:style w:type="character" w:customStyle="1" w:styleId="46">
    <w:name w:val="页脚 字符"/>
    <w:link w:val="19"/>
    <w:qFormat/>
    <w:uiPriority w:val="99"/>
    <w:rPr>
      <w:rFonts w:ascii="宋体"/>
      <w:kern w:val="2"/>
      <w:sz w:val="18"/>
      <w:szCs w:val="18"/>
    </w:rPr>
  </w:style>
  <w:style w:type="character" w:customStyle="1" w:styleId="47">
    <w:name w:val="批注框文本 字符"/>
    <w:link w:val="18"/>
    <w:semiHidden/>
    <w:qFormat/>
    <w:uiPriority w:val="99"/>
    <w:rPr>
      <w:kern w:val="2"/>
      <w:sz w:val="18"/>
      <w:szCs w:val="18"/>
    </w:rPr>
  </w:style>
  <w:style w:type="paragraph" w:styleId="48">
    <w:name w:val="Quote"/>
    <w:basedOn w:val="1"/>
    <w:next w:val="1"/>
    <w:link w:val="49"/>
    <w:qFormat/>
    <w:uiPriority w:val="29"/>
    <w:rPr>
      <w:i/>
      <w:iCs/>
      <w:color w:val="000000"/>
    </w:rPr>
  </w:style>
  <w:style w:type="character" w:customStyle="1" w:styleId="49">
    <w:name w:val="引用 字符"/>
    <w:link w:val="48"/>
    <w:qFormat/>
    <w:uiPriority w:val="29"/>
    <w:rPr>
      <w:i/>
      <w:iCs/>
      <w:color w:val="000000"/>
      <w:kern w:val="2"/>
      <w:sz w:val="21"/>
      <w:szCs w:val="21"/>
    </w:rPr>
  </w:style>
  <w:style w:type="character" w:customStyle="1" w:styleId="50">
    <w:name w:val="标题 字符"/>
    <w:link w:val="27"/>
    <w:qFormat/>
    <w:uiPriority w:val="0"/>
    <w:rPr>
      <w:rFonts w:ascii="Arial" w:hAnsi="Arial" w:cs="Arial"/>
      <w:b/>
      <w:bCs/>
      <w:kern w:val="2"/>
      <w:sz w:val="32"/>
      <w:szCs w:val="32"/>
    </w:rPr>
  </w:style>
  <w:style w:type="paragraph" w:customStyle="1" w:styleId="51">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2">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3">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4">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5">
    <w:name w:val="标准书眉一"/>
    <w:qFormat/>
    <w:uiPriority w:val="0"/>
    <w:pPr>
      <w:jc w:val="both"/>
    </w:pPr>
    <w:rPr>
      <w:rFonts w:ascii="Times New Roman" w:hAnsi="Times New Roman" w:eastAsia="宋体" w:cs="Times New Roman"/>
      <w:lang w:val="en-US" w:eastAsia="zh-CN" w:bidi="ar-SA"/>
    </w:rPr>
  </w:style>
  <w:style w:type="paragraph" w:customStyle="1" w:styleId="56">
    <w:name w:val="标准文件_ICS"/>
    <w:basedOn w:val="1"/>
    <w:qFormat/>
    <w:uiPriority w:val="0"/>
    <w:pPr>
      <w:spacing w:line="0" w:lineRule="atLeast"/>
    </w:pPr>
    <w:rPr>
      <w:rFonts w:ascii="黑体" w:hAnsi="宋体" w:eastAsia="黑体"/>
    </w:rPr>
  </w:style>
  <w:style w:type="paragraph" w:customStyle="1" w:styleId="57">
    <w:name w:val="标准文件_标准正文"/>
    <w:basedOn w:val="1"/>
    <w:next w:val="58"/>
    <w:qFormat/>
    <w:uiPriority w:val="0"/>
    <w:pPr>
      <w:snapToGrid w:val="0"/>
      <w:ind w:firstLine="200" w:firstLineChars="200"/>
    </w:pPr>
    <w:rPr>
      <w:kern w:val="0"/>
    </w:rPr>
  </w:style>
  <w:style w:type="paragraph" w:customStyle="1" w:styleId="58">
    <w:name w:val="标准文件_段"/>
    <w:link w:val="186"/>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9">
    <w:name w:val="标准文件_版本"/>
    <w:basedOn w:val="57"/>
    <w:qFormat/>
    <w:uiPriority w:val="0"/>
    <w:pPr>
      <w:adjustRightInd/>
      <w:snapToGrid/>
      <w:ind w:firstLine="0" w:firstLineChars="0"/>
    </w:pPr>
    <w:rPr>
      <w:rFonts w:ascii="宋体" w:hAnsi="宋体"/>
      <w:kern w:val="2"/>
    </w:rPr>
  </w:style>
  <w:style w:type="paragraph" w:customStyle="1" w:styleId="60">
    <w:name w:val="标准文件_标准部门"/>
    <w:basedOn w:val="1"/>
    <w:qFormat/>
    <w:uiPriority w:val="0"/>
    <w:pPr>
      <w:jc w:val="center"/>
    </w:pPr>
    <w:rPr>
      <w:rFonts w:ascii="黑体" w:eastAsia="黑体"/>
      <w:kern w:val="0"/>
      <w:sz w:val="44"/>
    </w:rPr>
  </w:style>
  <w:style w:type="paragraph" w:customStyle="1" w:styleId="61">
    <w:name w:val="标准文件_标准代替"/>
    <w:basedOn w:val="1"/>
    <w:next w:val="1"/>
    <w:qFormat/>
    <w:uiPriority w:val="0"/>
    <w:pPr>
      <w:spacing w:line="310" w:lineRule="exact"/>
      <w:jc w:val="right"/>
    </w:pPr>
    <w:rPr>
      <w:rFonts w:ascii="宋体" w:hAnsi="宋体"/>
      <w:kern w:val="0"/>
    </w:rPr>
  </w:style>
  <w:style w:type="paragraph" w:customStyle="1" w:styleId="62">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3">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4">
    <w:name w:val="标准文件_页眉偶数页"/>
    <w:basedOn w:val="63"/>
    <w:next w:val="1"/>
    <w:qFormat/>
    <w:uiPriority w:val="0"/>
    <w:pPr>
      <w:jc w:val="left"/>
    </w:pPr>
  </w:style>
  <w:style w:type="paragraph" w:customStyle="1" w:styleId="65">
    <w:name w:val="标准文件_参考文献标题"/>
    <w:basedOn w:val="1"/>
    <w:next w:val="1"/>
    <w:qFormat/>
    <w:uiPriority w:val="0"/>
    <w:pPr>
      <w:widowControl/>
      <w:shd w:val="clear" w:color="FFFFFF" w:fill="FFFFFF"/>
      <w:adjustRightInd/>
      <w:spacing w:before="560" w:afterLines="50" w:line="240" w:lineRule="auto"/>
      <w:jc w:val="center"/>
      <w:outlineLvl w:val="0"/>
    </w:pPr>
    <w:rPr>
      <w:rFonts w:ascii="黑体" w:eastAsia="黑体"/>
      <w:kern w:val="0"/>
    </w:rPr>
  </w:style>
  <w:style w:type="paragraph" w:customStyle="1" w:styleId="66">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7">
    <w:name w:val="标准文件_二级条标题"/>
    <w:next w:val="58"/>
    <w:qFormat/>
    <w:uiPriority w:val="0"/>
    <w:pPr>
      <w:widowControl w:val="0"/>
      <w:numPr>
        <w:ilvl w:val="3"/>
        <w:numId w:val="2"/>
      </w:numPr>
      <w:spacing w:beforeLines="50" w:afterLines="50"/>
      <w:jc w:val="both"/>
      <w:outlineLvl w:val="2"/>
    </w:pPr>
    <w:rPr>
      <w:rFonts w:ascii="黑体" w:hAnsi="Times New Roman" w:eastAsia="黑体" w:cs="Times New Roman"/>
      <w:sz w:val="21"/>
      <w:lang w:val="en-US" w:eastAsia="zh-CN" w:bidi="ar-SA"/>
    </w:rPr>
  </w:style>
  <w:style w:type="character" w:customStyle="1" w:styleId="68">
    <w:name w:val="标准文件_发布"/>
    <w:qFormat/>
    <w:uiPriority w:val="0"/>
    <w:rPr>
      <w:rFonts w:ascii="黑体" w:eastAsia="黑体"/>
      <w:spacing w:val="0"/>
      <w:w w:val="100"/>
      <w:position w:val="3"/>
      <w:sz w:val="28"/>
    </w:rPr>
  </w:style>
  <w:style w:type="paragraph" w:customStyle="1" w:styleId="69">
    <w:name w:val="标准文件_方框数字列项"/>
    <w:basedOn w:val="58"/>
    <w:qFormat/>
    <w:uiPriority w:val="0"/>
    <w:pPr>
      <w:numPr>
        <w:ilvl w:val="0"/>
        <w:numId w:val="3"/>
      </w:numPr>
      <w:ind w:firstLine="0" w:firstLineChars="0"/>
    </w:pPr>
  </w:style>
  <w:style w:type="paragraph" w:customStyle="1" w:styleId="70">
    <w:name w:val="标准文件_封面标准编号"/>
    <w:basedOn w:val="1"/>
    <w:next w:val="61"/>
    <w:qFormat/>
    <w:uiPriority w:val="0"/>
    <w:pPr>
      <w:spacing w:line="310" w:lineRule="exact"/>
      <w:jc w:val="right"/>
    </w:pPr>
    <w:rPr>
      <w:rFonts w:ascii="黑体" w:eastAsia="黑体"/>
      <w:kern w:val="0"/>
      <w:sz w:val="28"/>
    </w:rPr>
  </w:style>
  <w:style w:type="paragraph" w:customStyle="1" w:styleId="71">
    <w:name w:val="标准文件_封面标准分类号"/>
    <w:basedOn w:val="1"/>
    <w:qFormat/>
    <w:uiPriority w:val="0"/>
    <w:rPr>
      <w:rFonts w:ascii="黑体" w:eastAsia="黑体"/>
      <w:b/>
      <w:kern w:val="0"/>
      <w:sz w:val="28"/>
    </w:rPr>
  </w:style>
  <w:style w:type="paragraph" w:customStyle="1" w:styleId="72">
    <w:name w:val="标准文件_封面标准名称"/>
    <w:basedOn w:val="1"/>
    <w:qFormat/>
    <w:uiPriority w:val="0"/>
    <w:pPr>
      <w:spacing w:line="240" w:lineRule="auto"/>
      <w:jc w:val="center"/>
    </w:pPr>
    <w:rPr>
      <w:rFonts w:ascii="黑体" w:eastAsia="黑体"/>
      <w:kern w:val="0"/>
      <w:sz w:val="52"/>
    </w:rPr>
  </w:style>
  <w:style w:type="paragraph" w:customStyle="1" w:styleId="73">
    <w:name w:val="标准文件_封面标准英文名称"/>
    <w:basedOn w:val="1"/>
    <w:qFormat/>
    <w:uiPriority w:val="0"/>
    <w:pPr>
      <w:spacing w:line="240" w:lineRule="auto"/>
      <w:jc w:val="center"/>
    </w:pPr>
    <w:rPr>
      <w:rFonts w:ascii="黑体" w:eastAsia="黑体"/>
      <w:b/>
      <w:sz w:val="28"/>
    </w:rPr>
  </w:style>
  <w:style w:type="paragraph" w:customStyle="1" w:styleId="74">
    <w:name w:val="标准文件_封面发布日期"/>
    <w:basedOn w:val="1"/>
    <w:qFormat/>
    <w:uiPriority w:val="0"/>
    <w:pPr>
      <w:spacing w:line="310" w:lineRule="exact"/>
    </w:pPr>
    <w:rPr>
      <w:rFonts w:ascii="黑体" w:eastAsia="黑体"/>
      <w:kern w:val="0"/>
      <w:sz w:val="28"/>
    </w:rPr>
  </w:style>
  <w:style w:type="paragraph" w:customStyle="1" w:styleId="75">
    <w:name w:val="标准文件_封面密级"/>
    <w:basedOn w:val="1"/>
    <w:qFormat/>
    <w:uiPriority w:val="0"/>
    <w:rPr>
      <w:rFonts w:eastAsia="黑体"/>
      <w:sz w:val="32"/>
    </w:rPr>
  </w:style>
  <w:style w:type="paragraph" w:customStyle="1" w:styleId="76">
    <w:name w:val="标准文件_封面实施日期"/>
    <w:basedOn w:val="1"/>
    <w:qFormat/>
    <w:uiPriority w:val="0"/>
    <w:pPr>
      <w:spacing w:line="310" w:lineRule="exact"/>
      <w:jc w:val="right"/>
    </w:pPr>
    <w:rPr>
      <w:rFonts w:ascii="黑体" w:eastAsia="黑体"/>
      <w:sz w:val="28"/>
    </w:rPr>
  </w:style>
  <w:style w:type="paragraph" w:customStyle="1" w:styleId="77">
    <w:name w:val="标准文件_封面抬头"/>
    <w:basedOn w:val="58"/>
    <w:qFormat/>
    <w:uiPriority w:val="0"/>
    <w:pPr>
      <w:adjustRightInd w:val="0"/>
      <w:spacing w:line="800" w:lineRule="exact"/>
      <w:ind w:firstLine="0" w:firstLineChars="0"/>
      <w:jc w:val="distribute"/>
    </w:pPr>
    <w:rPr>
      <w:rFonts w:ascii="黑体" w:eastAsia="黑体"/>
      <w:b/>
      <w:sz w:val="64"/>
    </w:rPr>
  </w:style>
  <w:style w:type="paragraph" w:customStyle="1" w:styleId="78">
    <w:name w:val="标准文件_附录标识"/>
    <w:next w:val="58"/>
    <w:qFormat/>
    <w:uiPriority w:val="0"/>
    <w:pPr>
      <w:numPr>
        <w:ilvl w:val="0"/>
        <w:numId w:val="4"/>
      </w:numPr>
      <w:shd w:val="clear" w:color="FFFFFF" w:fill="FFFFFF"/>
      <w:tabs>
        <w:tab w:val="left" w:pos="6406"/>
      </w:tabs>
      <w:spacing w:before="560" w:afterLines="50"/>
      <w:jc w:val="center"/>
      <w:outlineLvl w:val="0"/>
    </w:pPr>
    <w:rPr>
      <w:rFonts w:ascii="黑体" w:hAnsi="Times New Roman" w:eastAsia="黑体" w:cs="Times New Roman"/>
      <w:sz w:val="21"/>
      <w:lang w:val="en-US" w:eastAsia="zh-CN" w:bidi="ar-SA"/>
    </w:rPr>
  </w:style>
  <w:style w:type="paragraph" w:customStyle="1" w:styleId="79">
    <w:name w:val="标准文件_附录表标题"/>
    <w:next w:val="58"/>
    <w:qFormat/>
    <w:uiPriority w:val="0"/>
    <w:pPr>
      <w:numPr>
        <w:ilvl w:val="1"/>
        <w:numId w:val="5"/>
      </w:numPr>
      <w:adjustRightInd w:val="0"/>
      <w:snapToGrid w:val="0"/>
      <w:spacing w:beforeLines="50" w:afterLines="50"/>
      <w:jc w:val="center"/>
      <w:textAlignment w:val="baseline"/>
    </w:pPr>
    <w:rPr>
      <w:rFonts w:ascii="黑体" w:hAnsi="Times New Roman" w:eastAsia="黑体" w:cs="Times New Roman"/>
      <w:kern w:val="21"/>
      <w:sz w:val="21"/>
      <w:lang w:val="en-US" w:eastAsia="zh-CN" w:bidi="ar-SA"/>
    </w:rPr>
  </w:style>
  <w:style w:type="paragraph" w:customStyle="1" w:styleId="80">
    <w:name w:val="标准文件_附录一级条标题"/>
    <w:next w:val="58"/>
    <w:qFormat/>
    <w:uiPriority w:val="0"/>
    <w:pPr>
      <w:widowControl w:val="0"/>
      <w:numPr>
        <w:ilvl w:val="1"/>
        <w:numId w:val="4"/>
      </w:numPr>
      <w:spacing w:beforeLines="50" w:afterLines="50"/>
      <w:jc w:val="both"/>
      <w:outlineLvl w:val="2"/>
    </w:pPr>
    <w:rPr>
      <w:rFonts w:ascii="黑体" w:hAnsi="Times New Roman" w:eastAsia="黑体" w:cs="Times New Roman"/>
      <w:kern w:val="21"/>
      <w:sz w:val="21"/>
      <w:lang w:val="en-US" w:eastAsia="zh-CN" w:bidi="ar-SA"/>
    </w:rPr>
  </w:style>
  <w:style w:type="paragraph" w:customStyle="1" w:styleId="81">
    <w:name w:val="标准文件_附录二级条标题"/>
    <w:basedOn w:val="80"/>
    <w:next w:val="58"/>
    <w:qFormat/>
    <w:uiPriority w:val="0"/>
    <w:pPr>
      <w:widowControl/>
      <w:numPr>
        <w:ilvl w:val="2"/>
      </w:numPr>
      <w:wordWrap w:val="0"/>
      <w:overflowPunct w:val="0"/>
      <w:autoSpaceDE w:val="0"/>
      <w:autoSpaceDN w:val="0"/>
      <w:textAlignment w:val="baseline"/>
      <w:outlineLvl w:val="3"/>
    </w:pPr>
  </w:style>
  <w:style w:type="paragraph" w:customStyle="1" w:styleId="82">
    <w:name w:val="标准文件_附录公式"/>
    <w:basedOn w:val="57"/>
    <w:next w:val="57"/>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3">
    <w:name w:val="标准文件_附录三级条标题"/>
    <w:next w:val="58"/>
    <w:qFormat/>
    <w:uiPriority w:val="0"/>
    <w:pPr>
      <w:widowControl w:val="0"/>
      <w:numPr>
        <w:ilvl w:val="3"/>
        <w:numId w:val="4"/>
      </w:numPr>
      <w:spacing w:beforeLines="50" w:afterLines="50"/>
      <w:jc w:val="both"/>
      <w:outlineLvl w:val="4"/>
    </w:pPr>
    <w:rPr>
      <w:rFonts w:ascii="黑体" w:hAnsi="Times New Roman" w:eastAsia="黑体" w:cs="Times New Roman"/>
      <w:kern w:val="21"/>
      <w:sz w:val="21"/>
      <w:lang w:val="en-US" w:eastAsia="zh-CN" w:bidi="ar-SA"/>
    </w:rPr>
  </w:style>
  <w:style w:type="paragraph" w:customStyle="1" w:styleId="84">
    <w:name w:val="标准文件_附录四级条标题"/>
    <w:next w:val="58"/>
    <w:qFormat/>
    <w:uiPriority w:val="0"/>
    <w:pPr>
      <w:widowControl w:val="0"/>
      <w:numPr>
        <w:ilvl w:val="4"/>
        <w:numId w:val="4"/>
      </w:numPr>
      <w:spacing w:beforeLines="50" w:afterLines="50"/>
      <w:jc w:val="both"/>
      <w:outlineLvl w:val="5"/>
    </w:pPr>
    <w:rPr>
      <w:rFonts w:ascii="黑体" w:hAnsi="Times New Roman" w:eastAsia="黑体" w:cs="Times New Roman"/>
      <w:kern w:val="21"/>
      <w:sz w:val="21"/>
      <w:lang w:val="en-US" w:eastAsia="zh-CN" w:bidi="ar-SA"/>
    </w:rPr>
  </w:style>
  <w:style w:type="paragraph" w:customStyle="1" w:styleId="85">
    <w:name w:val="标准文件_附录图标题"/>
    <w:next w:val="58"/>
    <w:qFormat/>
    <w:uiPriority w:val="0"/>
    <w:pPr>
      <w:numPr>
        <w:ilvl w:val="1"/>
        <w:numId w:val="6"/>
      </w:numPr>
      <w:adjustRightInd w:val="0"/>
      <w:snapToGrid w:val="0"/>
      <w:spacing w:beforeLines="50" w:afterLines="50"/>
      <w:jc w:val="center"/>
    </w:pPr>
    <w:rPr>
      <w:rFonts w:ascii="黑体" w:hAnsi="Times New Roman" w:eastAsia="黑体" w:cs="Times New Roman"/>
      <w:sz w:val="21"/>
      <w:lang w:val="en-US" w:eastAsia="zh-CN" w:bidi="ar-SA"/>
    </w:rPr>
  </w:style>
  <w:style w:type="paragraph" w:customStyle="1" w:styleId="86">
    <w:name w:val="标准文件_附录五级条标题"/>
    <w:next w:val="58"/>
    <w:qFormat/>
    <w:uiPriority w:val="0"/>
    <w:pPr>
      <w:widowControl w:val="0"/>
      <w:numPr>
        <w:ilvl w:val="5"/>
        <w:numId w:val="4"/>
      </w:numPr>
      <w:spacing w:beforeLines="50" w:afterLines="50"/>
      <w:jc w:val="both"/>
      <w:outlineLvl w:val="6"/>
    </w:pPr>
    <w:rPr>
      <w:rFonts w:ascii="黑体" w:hAnsi="Times New Roman" w:eastAsia="黑体" w:cs="Times New Roman"/>
      <w:kern w:val="21"/>
      <w:sz w:val="21"/>
      <w:lang w:val="en-US" w:eastAsia="zh-CN" w:bidi="ar-SA"/>
    </w:rPr>
  </w:style>
  <w:style w:type="paragraph" w:customStyle="1" w:styleId="87">
    <w:name w:val="标准文件_附录英文标识"/>
    <w:next w:val="15"/>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8">
    <w:name w:val="正文文本 字符"/>
    <w:link w:val="15"/>
    <w:qFormat/>
    <w:uiPriority w:val="0"/>
    <w:rPr>
      <w:kern w:val="2"/>
      <w:sz w:val="21"/>
      <w:szCs w:val="21"/>
    </w:rPr>
  </w:style>
  <w:style w:type="paragraph" w:customStyle="1" w:styleId="89">
    <w:name w:val="标准文件_附录章标题"/>
    <w:next w:val="58"/>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0">
    <w:name w:val="标准文件_公式后的破折号"/>
    <w:basedOn w:val="58"/>
    <w:next w:val="58"/>
    <w:qFormat/>
    <w:uiPriority w:val="0"/>
    <w:pPr>
      <w:ind w:left="488" w:leftChars="200" w:hanging="289" w:hangingChars="290"/>
    </w:pPr>
  </w:style>
  <w:style w:type="paragraph" w:customStyle="1" w:styleId="91">
    <w:name w:val="标准文件_前言、引言标题"/>
    <w:next w:val="1"/>
    <w:qFormat/>
    <w:uiPriority w:val="0"/>
    <w:pPr>
      <w:numPr>
        <w:ilvl w:val="0"/>
        <w:numId w:val="8"/>
      </w:numPr>
      <w:shd w:val="clear" w:color="FFFFFF" w:fill="FFFFFF"/>
      <w:spacing w:before="480" w:afterLines="150"/>
      <w:jc w:val="center"/>
      <w:outlineLvl w:val="0"/>
    </w:pPr>
    <w:rPr>
      <w:rFonts w:ascii="黑体" w:hAnsi="Times New Roman" w:eastAsia="黑体" w:cs="Times New Roman"/>
      <w:sz w:val="32"/>
      <w:lang w:val="en-US" w:eastAsia="zh-CN" w:bidi="ar-SA"/>
    </w:rPr>
  </w:style>
  <w:style w:type="paragraph" w:customStyle="1" w:styleId="92">
    <w:name w:val="标准文件_目次、标准名称标题"/>
    <w:basedOn w:val="91"/>
    <w:next w:val="58"/>
    <w:qFormat/>
    <w:uiPriority w:val="0"/>
    <w:pPr>
      <w:spacing w:line="460" w:lineRule="exact"/>
      <w:ind w:left="0" w:firstLine="0"/>
    </w:pPr>
  </w:style>
  <w:style w:type="paragraph" w:customStyle="1" w:styleId="93">
    <w:name w:val="标准文件_目录标题"/>
    <w:basedOn w:val="1"/>
    <w:qFormat/>
    <w:uiPriority w:val="0"/>
    <w:pPr>
      <w:spacing w:before="480" w:afterLines="150" w:line="240" w:lineRule="auto"/>
      <w:jc w:val="center"/>
    </w:pPr>
    <w:rPr>
      <w:rFonts w:ascii="黑体" w:eastAsia="黑体"/>
      <w:sz w:val="32"/>
    </w:rPr>
  </w:style>
  <w:style w:type="paragraph" w:customStyle="1" w:styleId="94">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5">
    <w:name w:val="标准文件_破折号列项（二级）"/>
    <w:basedOn w:val="94"/>
    <w:qFormat/>
    <w:uiPriority w:val="0"/>
    <w:pPr>
      <w:numPr>
        <w:numId w:val="10"/>
      </w:numPr>
    </w:pPr>
  </w:style>
  <w:style w:type="paragraph" w:customStyle="1" w:styleId="96">
    <w:name w:val="标准文件_三级条标题"/>
    <w:basedOn w:val="67"/>
    <w:next w:val="58"/>
    <w:qFormat/>
    <w:uiPriority w:val="0"/>
    <w:pPr>
      <w:widowControl/>
      <w:numPr>
        <w:ilvl w:val="4"/>
      </w:numPr>
      <w:outlineLvl w:val="3"/>
    </w:pPr>
  </w:style>
  <w:style w:type="character" w:customStyle="1" w:styleId="97">
    <w:name w:val="不明显参考1"/>
    <w:qFormat/>
    <w:uiPriority w:val="31"/>
    <w:rPr>
      <w:smallCaps/>
      <w:color w:val="C0504D"/>
      <w:u w:val="single"/>
    </w:rPr>
  </w:style>
  <w:style w:type="paragraph" w:customStyle="1" w:styleId="98">
    <w:name w:val="标准文件_示例后续"/>
    <w:basedOn w:val="1"/>
    <w:qFormat/>
    <w:uiPriority w:val="0"/>
    <w:pPr>
      <w:adjustRightInd/>
      <w:spacing w:line="240" w:lineRule="auto"/>
      <w:ind w:firstLine="200" w:firstLineChars="200"/>
    </w:pPr>
    <w:rPr>
      <w:sz w:val="18"/>
      <w:szCs w:val="24"/>
    </w:rPr>
  </w:style>
  <w:style w:type="paragraph" w:customStyle="1" w:styleId="99">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0">
    <w:name w:val="标准文件_四级条标题"/>
    <w:next w:val="58"/>
    <w:qFormat/>
    <w:uiPriority w:val="0"/>
    <w:pPr>
      <w:widowControl w:val="0"/>
      <w:numPr>
        <w:ilvl w:val="5"/>
        <w:numId w:val="2"/>
      </w:numPr>
      <w:spacing w:beforeLines="50" w:afterLines="50"/>
      <w:jc w:val="both"/>
      <w:outlineLvl w:val="4"/>
    </w:pPr>
    <w:rPr>
      <w:rFonts w:ascii="黑体" w:hAnsi="Times New Roman" w:eastAsia="黑体" w:cs="Times New Roman"/>
      <w:sz w:val="21"/>
      <w:lang w:val="en-US" w:eastAsia="zh-CN" w:bidi="ar-SA"/>
    </w:rPr>
  </w:style>
  <w:style w:type="character" w:customStyle="1" w:styleId="101">
    <w:name w:val="脚注文本 字符"/>
    <w:link w:val="23"/>
    <w:semiHidden/>
    <w:qFormat/>
    <w:uiPriority w:val="0"/>
    <w:rPr>
      <w:rFonts w:ascii="宋体"/>
      <w:kern w:val="2"/>
      <w:sz w:val="18"/>
      <w:szCs w:val="18"/>
    </w:rPr>
  </w:style>
  <w:style w:type="paragraph" w:customStyle="1" w:styleId="102">
    <w:name w:val="标准文件_条文脚注"/>
    <w:basedOn w:val="23"/>
    <w:qFormat/>
    <w:uiPriority w:val="0"/>
    <w:pPr>
      <w:adjustRightInd w:val="0"/>
      <w:spacing w:line="240" w:lineRule="auto"/>
      <w:ind w:left="0" w:leftChars="0" w:firstLine="200" w:firstLineChars="200"/>
      <w:jc w:val="both"/>
    </w:pPr>
    <w:rPr>
      <w:rFonts w:hAnsi="宋体"/>
    </w:rPr>
  </w:style>
  <w:style w:type="paragraph" w:customStyle="1" w:styleId="103">
    <w:name w:val="标准文件_图表脚注"/>
    <w:basedOn w:val="1"/>
    <w:next w:val="58"/>
    <w:qFormat/>
    <w:uiPriority w:val="0"/>
    <w:pPr>
      <w:numPr>
        <w:ilvl w:val="0"/>
        <w:numId w:val="12"/>
      </w:numPr>
      <w:spacing w:line="240" w:lineRule="auto"/>
      <w:jc w:val="left"/>
    </w:pPr>
    <w:rPr>
      <w:rFonts w:ascii="宋体" w:hAnsi="宋体"/>
      <w:sz w:val="18"/>
    </w:rPr>
  </w:style>
  <w:style w:type="character" w:customStyle="1" w:styleId="104">
    <w:name w:val="标准文件_图表脚注内容"/>
    <w:qFormat/>
    <w:uiPriority w:val="0"/>
    <w:rPr>
      <w:rFonts w:ascii="宋体" w:hAnsi="宋体" w:eastAsia="宋体" w:cs="Times New Roman"/>
      <w:spacing w:val="0"/>
      <w:sz w:val="18"/>
      <w:vertAlign w:val="superscript"/>
    </w:rPr>
  </w:style>
  <w:style w:type="paragraph" w:customStyle="1" w:styleId="105">
    <w:name w:val="标准文件_五级条标题"/>
    <w:next w:val="58"/>
    <w:qFormat/>
    <w:uiPriority w:val="0"/>
    <w:pPr>
      <w:widowControl w:val="0"/>
      <w:numPr>
        <w:ilvl w:val="6"/>
        <w:numId w:val="2"/>
      </w:numPr>
      <w:spacing w:beforeLines="50" w:afterLines="50"/>
      <w:jc w:val="both"/>
      <w:outlineLvl w:val="5"/>
    </w:pPr>
    <w:rPr>
      <w:rFonts w:ascii="黑体" w:hAnsi="Times New Roman" w:eastAsia="黑体" w:cs="Times New Roman"/>
      <w:sz w:val="21"/>
      <w:lang w:val="en-US" w:eastAsia="zh-CN" w:bidi="ar-SA"/>
    </w:rPr>
  </w:style>
  <w:style w:type="paragraph" w:customStyle="1" w:styleId="106">
    <w:name w:val="标准文件_章标题"/>
    <w:next w:val="58"/>
    <w:qFormat/>
    <w:uiPriority w:val="0"/>
    <w:pPr>
      <w:numPr>
        <w:ilvl w:val="1"/>
        <w:numId w:val="2"/>
      </w:numPr>
      <w:spacing w:beforeLines="100" w:afterLines="100"/>
      <w:jc w:val="both"/>
      <w:outlineLvl w:val="0"/>
    </w:pPr>
    <w:rPr>
      <w:rFonts w:ascii="黑体" w:hAnsi="Times New Roman" w:eastAsia="黑体" w:cs="Times New Roman"/>
      <w:sz w:val="21"/>
      <w:lang w:val="en-US" w:eastAsia="zh-CN" w:bidi="ar-SA"/>
    </w:rPr>
  </w:style>
  <w:style w:type="paragraph" w:customStyle="1" w:styleId="107">
    <w:name w:val="标准文件_一级条标题"/>
    <w:basedOn w:val="106"/>
    <w:next w:val="58"/>
    <w:qFormat/>
    <w:uiPriority w:val="0"/>
    <w:pPr>
      <w:numPr>
        <w:ilvl w:val="2"/>
      </w:numPr>
      <w:spacing w:beforeLines="50" w:afterLines="50"/>
      <w:outlineLvl w:val="1"/>
    </w:pPr>
  </w:style>
  <w:style w:type="paragraph" w:customStyle="1" w:styleId="108">
    <w:name w:val="标准文件_一致程度"/>
    <w:basedOn w:val="1"/>
    <w:qFormat/>
    <w:uiPriority w:val="0"/>
    <w:pPr>
      <w:spacing w:line="440" w:lineRule="exact"/>
      <w:jc w:val="center"/>
    </w:pPr>
    <w:rPr>
      <w:sz w:val="28"/>
    </w:rPr>
  </w:style>
  <w:style w:type="paragraph" w:customStyle="1" w:styleId="109">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0">
    <w:name w:val="标准文件_英文图表脚注"/>
    <w:basedOn w:val="57"/>
    <w:qFormat/>
    <w:uiPriority w:val="0"/>
    <w:pPr>
      <w:widowControl/>
      <w:adjustRightInd/>
      <w:snapToGrid/>
      <w:spacing w:line="240" w:lineRule="auto"/>
      <w:ind w:left="79" w:hanging="79" w:hangingChars="80"/>
    </w:pPr>
    <w:rPr>
      <w:rFonts w:ascii="宋体" w:hAnsi="宋体"/>
    </w:rPr>
  </w:style>
  <w:style w:type="paragraph" w:customStyle="1" w:styleId="111">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2">
    <w:name w:val="标准文件_英文注："/>
    <w:basedOn w:val="1"/>
    <w:next w:val="58"/>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3">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4">
    <w:name w:val="标准文件_正文表标题"/>
    <w:next w:val="58"/>
    <w:qFormat/>
    <w:uiPriority w:val="0"/>
    <w:pPr>
      <w:numPr>
        <w:ilvl w:val="0"/>
        <w:numId w:val="16"/>
      </w:numPr>
      <w:tabs>
        <w:tab w:val="left" w:pos="0"/>
      </w:tabs>
      <w:spacing w:beforeLines="50" w:afterLines="50"/>
      <w:jc w:val="center"/>
    </w:pPr>
    <w:rPr>
      <w:rFonts w:ascii="黑体" w:hAnsi="Times New Roman" w:eastAsia="黑体" w:cs="Times New Roman"/>
      <w:sz w:val="21"/>
      <w:lang w:val="en-US" w:eastAsia="zh-CN" w:bidi="ar-SA"/>
    </w:rPr>
  </w:style>
  <w:style w:type="paragraph" w:customStyle="1" w:styleId="115">
    <w:name w:val="标准文件_正文公式"/>
    <w:basedOn w:val="1"/>
    <w:next w:val="57"/>
    <w:qFormat/>
    <w:uiPriority w:val="0"/>
    <w:pPr>
      <w:tabs>
        <w:tab w:val="center" w:pos="4678"/>
        <w:tab w:val="right" w:leader="middleDot" w:pos="9356"/>
      </w:tabs>
      <w:spacing w:line="240" w:lineRule="auto"/>
    </w:pPr>
    <w:rPr>
      <w:rFonts w:ascii="宋体" w:hAnsi="宋体"/>
    </w:rPr>
  </w:style>
  <w:style w:type="paragraph" w:customStyle="1" w:styleId="116">
    <w:name w:val="标准文件_正文图标题"/>
    <w:next w:val="58"/>
    <w:qFormat/>
    <w:uiPriority w:val="0"/>
    <w:pPr>
      <w:numPr>
        <w:ilvl w:val="0"/>
        <w:numId w:val="17"/>
      </w:numPr>
      <w:spacing w:beforeLines="50" w:afterLines="50"/>
      <w:jc w:val="center"/>
    </w:pPr>
    <w:rPr>
      <w:rFonts w:ascii="黑体" w:hAnsi="Times New Roman" w:eastAsia="黑体" w:cs="Times New Roman"/>
      <w:sz w:val="21"/>
      <w:lang w:val="en-US" w:eastAsia="zh-CN" w:bidi="ar-SA"/>
    </w:rPr>
  </w:style>
  <w:style w:type="paragraph" w:customStyle="1" w:styleId="117">
    <w:name w:val="标准文件_正文英文表标题"/>
    <w:next w:val="58"/>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8">
    <w:name w:val="标准文件_正文英文图标题"/>
    <w:next w:val="58"/>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9">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0">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1">
    <w:name w:val="发布部门"/>
    <w:next w:val="58"/>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2">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3">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4">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5">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6">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7">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8">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9">
    <w:name w:val="封面正文"/>
    <w:qFormat/>
    <w:uiPriority w:val="0"/>
    <w:pPr>
      <w:jc w:val="both"/>
    </w:pPr>
    <w:rPr>
      <w:rFonts w:ascii="Times New Roman" w:hAnsi="Times New Roman" w:eastAsia="宋体" w:cs="Times New Roman"/>
      <w:lang w:val="en-US" w:eastAsia="zh-CN" w:bidi="ar-SA"/>
    </w:rPr>
  </w:style>
  <w:style w:type="paragraph" w:customStyle="1" w:styleId="130">
    <w:name w:val="附录二级无标题条"/>
    <w:basedOn w:val="1"/>
    <w:next w:val="58"/>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1">
    <w:name w:val="附录三级无标题条"/>
    <w:basedOn w:val="130"/>
    <w:next w:val="58"/>
    <w:qFormat/>
    <w:uiPriority w:val="0"/>
    <w:pPr>
      <w:outlineLvl w:val="4"/>
    </w:pPr>
  </w:style>
  <w:style w:type="paragraph" w:customStyle="1" w:styleId="132">
    <w:name w:val="附录四级无标题条"/>
    <w:basedOn w:val="131"/>
    <w:next w:val="58"/>
    <w:qFormat/>
    <w:uiPriority w:val="0"/>
    <w:pPr>
      <w:outlineLvl w:val="5"/>
    </w:pPr>
  </w:style>
  <w:style w:type="paragraph" w:customStyle="1" w:styleId="133">
    <w:name w:val="附录图"/>
    <w:next w:val="58"/>
    <w:qFormat/>
    <w:uiPriority w:val="0"/>
    <w:pPr>
      <w:wordWrap w:val="0"/>
      <w:overflowPunct w:val="0"/>
      <w:autoSpaceDE w:val="0"/>
      <w:spacing w:beforeLines="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4">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5">
    <w:name w:val="附录五级无标题条"/>
    <w:basedOn w:val="132"/>
    <w:next w:val="58"/>
    <w:qFormat/>
    <w:uiPriority w:val="0"/>
    <w:pPr>
      <w:outlineLvl w:val="6"/>
    </w:pPr>
  </w:style>
  <w:style w:type="paragraph" w:customStyle="1" w:styleId="136">
    <w:name w:val="附录性质"/>
    <w:basedOn w:val="1"/>
    <w:qFormat/>
    <w:uiPriority w:val="0"/>
    <w:pPr>
      <w:widowControl/>
      <w:adjustRightInd/>
      <w:jc w:val="center"/>
    </w:pPr>
    <w:rPr>
      <w:rFonts w:ascii="黑体" w:eastAsia="黑体"/>
    </w:rPr>
  </w:style>
  <w:style w:type="paragraph" w:customStyle="1" w:styleId="137">
    <w:name w:val="附录一级无标题条"/>
    <w:basedOn w:val="89"/>
    <w:next w:val="58"/>
    <w:qFormat/>
    <w:uiPriority w:val="0"/>
    <w:pPr>
      <w:autoSpaceDN w:val="0"/>
      <w:outlineLvl w:val="2"/>
    </w:pPr>
    <w:rPr>
      <w:rFonts w:ascii="宋体" w:hAnsi="宋体" w:eastAsia="宋体"/>
    </w:rPr>
  </w:style>
  <w:style w:type="character" w:customStyle="1" w:styleId="138">
    <w:name w:val="个人答复风格"/>
    <w:qFormat/>
    <w:uiPriority w:val="0"/>
    <w:rPr>
      <w:rFonts w:ascii="Arial" w:hAnsi="Arial" w:eastAsia="宋体" w:cs="Arial"/>
      <w:color w:val="auto"/>
      <w:spacing w:val="0"/>
      <w:sz w:val="20"/>
    </w:rPr>
  </w:style>
  <w:style w:type="character" w:customStyle="1" w:styleId="139">
    <w:name w:val="个人撰写风格"/>
    <w:qFormat/>
    <w:uiPriority w:val="0"/>
    <w:rPr>
      <w:rFonts w:ascii="Arial" w:hAnsi="Arial" w:eastAsia="宋体" w:cs="Arial"/>
      <w:color w:val="auto"/>
      <w:spacing w:val="0"/>
      <w:sz w:val="20"/>
    </w:rPr>
  </w:style>
  <w:style w:type="paragraph" w:customStyle="1" w:styleId="140">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1">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2">
    <w:name w:val="列项·"/>
    <w:basedOn w:val="58"/>
    <w:qFormat/>
    <w:uiPriority w:val="0"/>
    <w:pPr>
      <w:tabs>
        <w:tab w:val="left" w:pos="840"/>
      </w:tabs>
    </w:pPr>
  </w:style>
  <w:style w:type="paragraph" w:customStyle="1" w:styleId="143">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4">
    <w:name w:val="目录 21"/>
    <w:basedOn w:val="1"/>
    <w:next w:val="1"/>
    <w:autoRedefine/>
    <w:semiHidden/>
    <w:qFormat/>
    <w:uiPriority w:val="0"/>
    <w:pPr>
      <w:adjustRightInd/>
      <w:spacing w:line="240" w:lineRule="auto"/>
      <w:jc w:val="left"/>
    </w:pPr>
    <w:rPr>
      <w:bCs/>
      <w:iCs/>
    </w:rPr>
  </w:style>
  <w:style w:type="paragraph" w:customStyle="1" w:styleId="145">
    <w:name w:val="目录 31"/>
    <w:basedOn w:val="1"/>
    <w:next w:val="1"/>
    <w:autoRedefine/>
    <w:semiHidden/>
    <w:qFormat/>
    <w:uiPriority w:val="0"/>
    <w:pPr>
      <w:spacing w:line="240" w:lineRule="auto"/>
    </w:pPr>
    <w:rPr>
      <w:rFonts w:ascii="宋体" w:hAnsi="宋体"/>
      <w:iCs/>
    </w:rPr>
  </w:style>
  <w:style w:type="paragraph" w:customStyle="1" w:styleId="146">
    <w:name w:val="目录 41"/>
    <w:basedOn w:val="1"/>
    <w:next w:val="1"/>
    <w:autoRedefine/>
    <w:semiHidden/>
    <w:qFormat/>
    <w:uiPriority w:val="0"/>
    <w:pPr>
      <w:adjustRightInd/>
      <w:spacing w:line="240" w:lineRule="auto"/>
      <w:jc w:val="left"/>
    </w:pPr>
  </w:style>
  <w:style w:type="paragraph" w:customStyle="1" w:styleId="147">
    <w:name w:val="目录 51"/>
    <w:basedOn w:val="1"/>
    <w:next w:val="1"/>
    <w:autoRedefine/>
    <w:semiHidden/>
    <w:qFormat/>
    <w:uiPriority w:val="0"/>
    <w:pPr>
      <w:spacing w:line="240" w:lineRule="auto"/>
    </w:pPr>
    <w:rPr>
      <w:rFonts w:ascii="宋体" w:hAnsi="宋体"/>
    </w:rPr>
  </w:style>
  <w:style w:type="paragraph" w:customStyle="1" w:styleId="148">
    <w:name w:val="目录 61"/>
    <w:basedOn w:val="1"/>
    <w:next w:val="1"/>
    <w:autoRedefine/>
    <w:semiHidden/>
    <w:qFormat/>
    <w:uiPriority w:val="0"/>
    <w:pPr>
      <w:adjustRightInd/>
      <w:spacing w:line="240" w:lineRule="auto"/>
      <w:jc w:val="left"/>
    </w:pPr>
  </w:style>
  <w:style w:type="paragraph" w:customStyle="1" w:styleId="149">
    <w:name w:val="目录 71"/>
    <w:basedOn w:val="148"/>
    <w:autoRedefine/>
    <w:semiHidden/>
    <w:qFormat/>
    <w:uiPriority w:val="0"/>
    <w:pPr>
      <w:ind w:left="1260"/>
    </w:pPr>
  </w:style>
  <w:style w:type="paragraph" w:customStyle="1" w:styleId="150">
    <w:name w:val="目录 81"/>
    <w:basedOn w:val="149"/>
    <w:autoRedefine/>
    <w:semiHidden/>
    <w:qFormat/>
    <w:uiPriority w:val="0"/>
    <w:pPr>
      <w:ind w:left="1470"/>
    </w:pPr>
  </w:style>
  <w:style w:type="paragraph" w:customStyle="1" w:styleId="151">
    <w:name w:val="目录 91"/>
    <w:basedOn w:val="150"/>
    <w:autoRedefine/>
    <w:semiHidden/>
    <w:qFormat/>
    <w:uiPriority w:val="0"/>
    <w:pPr>
      <w:ind w:left="1680"/>
    </w:pPr>
  </w:style>
  <w:style w:type="paragraph" w:customStyle="1" w:styleId="152">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3">
    <w:name w:val="其他发布部门"/>
    <w:basedOn w:val="121"/>
    <w:qFormat/>
    <w:uiPriority w:val="0"/>
    <w:pPr>
      <w:framePr w:wrap="around"/>
      <w:spacing w:line="0" w:lineRule="atLeast"/>
    </w:pPr>
    <w:rPr>
      <w:rFonts w:ascii="黑体" w:eastAsia="黑体"/>
      <w:b w:val="0"/>
    </w:rPr>
  </w:style>
  <w:style w:type="paragraph" w:customStyle="1" w:styleId="154">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5">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6">
    <w:name w:val="实施日期"/>
    <w:basedOn w:val="122"/>
    <w:qFormat/>
    <w:uiPriority w:val="0"/>
    <w:pPr>
      <w:framePr w:hSpace="0" w:wrap="around" w:xAlign="right"/>
      <w:jc w:val="right"/>
    </w:pPr>
  </w:style>
  <w:style w:type="paragraph" w:customStyle="1" w:styleId="157">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8">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9">
    <w:name w:val="无标题条"/>
    <w:next w:val="58"/>
    <w:qFormat/>
    <w:uiPriority w:val="0"/>
    <w:pPr>
      <w:jc w:val="both"/>
    </w:pPr>
    <w:rPr>
      <w:rFonts w:ascii="宋体" w:hAnsi="宋体" w:eastAsia="宋体" w:cs="Times New Roman"/>
      <w:sz w:val="21"/>
      <w:lang w:val="en-US" w:eastAsia="zh-CN" w:bidi="ar-SA"/>
    </w:rPr>
  </w:style>
  <w:style w:type="paragraph" w:customStyle="1" w:styleId="160">
    <w:name w:val="五级无标题条"/>
    <w:basedOn w:val="1"/>
    <w:qFormat/>
    <w:uiPriority w:val="0"/>
    <w:pPr>
      <w:numPr>
        <w:ilvl w:val="6"/>
        <w:numId w:val="20"/>
      </w:numPr>
      <w:adjustRightInd/>
    </w:pPr>
    <w:rPr>
      <w:szCs w:val="24"/>
    </w:rPr>
  </w:style>
  <w:style w:type="paragraph" w:customStyle="1" w:styleId="161">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2">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3">
    <w:name w:val="注×:后续"/>
    <w:basedOn w:val="162"/>
    <w:qFormat/>
    <w:uiPriority w:val="0"/>
    <w:pPr>
      <w:ind w:left="1406" w:leftChars="0" w:hanging="499" w:firstLineChars="0"/>
    </w:pPr>
  </w:style>
  <w:style w:type="paragraph" w:customStyle="1" w:styleId="164">
    <w:name w:val="标准文件_一级无标题"/>
    <w:basedOn w:val="107"/>
    <w:qFormat/>
    <w:uiPriority w:val="0"/>
    <w:pPr>
      <w:spacing w:beforeLines="0" w:afterLines="0"/>
      <w:outlineLvl w:val="9"/>
    </w:pPr>
    <w:rPr>
      <w:rFonts w:ascii="宋体" w:eastAsia="宋体"/>
    </w:rPr>
  </w:style>
  <w:style w:type="paragraph" w:customStyle="1" w:styleId="165">
    <w:name w:val="标准文件_五级无标题"/>
    <w:basedOn w:val="105"/>
    <w:qFormat/>
    <w:uiPriority w:val="0"/>
    <w:pPr>
      <w:spacing w:beforeLines="0" w:afterLines="0"/>
      <w:outlineLvl w:val="9"/>
    </w:pPr>
    <w:rPr>
      <w:rFonts w:ascii="宋体" w:eastAsia="宋体"/>
    </w:rPr>
  </w:style>
  <w:style w:type="paragraph" w:customStyle="1" w:styleId="166">
    <w:name w:val="标准文件_三级无标题"/>
    <w:basedOn w:val="96"/>
    <w:qFormat/>
    <w:uiPriority w:val="0"/>
    <w:pPr>
      <w:spacing w:beforeLines="0" w:afterLines="0"/>
      <w:outlineLvl w:val="9"/>
    </w:pPr>
    <w:rPr>
      <w:rFonts w:ascii="宋体" w:eastAsia="宋体"/>
    </w:rPr>
  </w:style>
  <w:style w:type="paragraph" w:customStyle="1" w:styleId="167">
    <w:name w:val="标准文件_二级无标题"/>
    <w:basedOn w:val="67"/>
    <w:qFormat/>
    <w:uiPriority w:val="0"/>
    <w:pPr>
      <w:spacing w:beforeLines="0" w:afterLines="0"/>
      <w:outlineLvl w:val="9"/>
    </w:pPr>
    <w:rPr>
      <w:rFonts w:ascii="宋体" w:eastAsia="宋体"/>
    </w:rPr>
  </w:style>
  <w:style w:type="paragraph" w:customStyle="1" w:styleId="168">
    <w:name w:val="标准_四级无标题"/>
    <w:basedOn w:val="100"/>
    <w:next w:val="58"/>
    <w:qFormat/>
    <w:uiPriority w:val="0"/>
    <w:rPr>
      <w:rFonts w:eastAsia="宋体"/>
    </w:rPr>
  </w:style>
  <w:style w:type="paragraph" w:customStyle="1" w:styleId="169">
    <w:name w:val="标准文件_四级无标题"/>
    <w:basedOn w:val="100"/>
    <w:qFormat/>
    <w:uiPriority w:val="0"/>
    <w:pPr>
      <w:spacing w:beforeLines="0" w:afterLines="0"/>
      <w:outlineLvl w:val="9"/>
    </w:pPr>
    <w:rPr>
      <w:rFonts w:ascii="宋体" w:hAnsi="黑体" w:eastAsia="宋体"/>
      <w:szCs w:val="52"/>
    </w:rPr>
  </w:style>
  <w:style w:type="paragraph" w:customStyle="1" w:styleId="170">
    <w:name w:val="标准文件_大写罗马数字编号列项"/>
    <w:basedOn w:val="58"/>
    <w:qFormat/>
    <w:uiPriority w:val="0"/>
    <w:pPr>
      <w:numPr>
        <w:ilvl w:val="0"/>
        <w:numId w:val="23"/>
      </w:numPr>
      <w:ind w:firstLine="0" w:firstLineChars="0"/>
    </w:pPr>
    <w:rPr>
      <w:rFonts w:ascii="Times New Roman" w:cs="Arial"/>
      <w:szCs w:val="28"/>
    </w:rPr>
  </w:style>
  <w:style w:type="paragraph" w:customStyle="1" w:styleId="171">
    <w:name w:val="标准文件_小写罗马数字编号列项"/>
    <w:basedOn w:val="58"/>
    <w:qFormat/>
    <w:uiPriority w:val="0"/>
    <w:pPr>
      <w:numPr>
        <w:ilvl w:val="0"/>
        <w:numId w:val="24"/>
      </w:numPr>
      <w:ind w:firstLine="0" w:firstLineChars="0"/>
    </w:pPr>
    <w:rPr>
      <w:rFonts w:cs="Arial"/>
      <w:szCs w:val="28"/>
    </w:rPr>
  </w:style>
  <w:style w:type="paragraph" w:customStyle="1" w:styleId="172">
    <w:name w:val="标准文件_附录标题"/>
    <w:basedOn w:val="78"/>
    <w:qFormat/>
    <w:uiPriority w:val="0"/>
    <w:pPr>
      <w:numPr>
        <w:numId w:val="0"/>
      </w:numPr>
      <w:spacing w:after="280"/>
      <w:outlineLvl w:val="9"/>
    </w:pPr>
  </w:style>
  <w:style w:type="paragraph" w:customStyle="1" w:styleId="173">
    <w:name w:val="标准文件_二级项"/>
    <w:qFormat/>
    <w:uiPriority w:val="0"/>
    <w:rPr>
      <w:rFonts w:ascii="宋体" w:hAnsi="Times New Roman" w:eastAsia="宋体" w:cs="Times New Roman"/>
      <w:sz w:val="21"/>
      <w:lang w:val="en-US" w:eastAsia="zh-CN" w:bidi="ar-SA"/>
    </w:rPr>
  </w:style>
  <w:style w:type="paragraph" w:customStyle="1" w:styleId="174">
    <w:name w:val="标准文件_三级项"/>
    <w:basedOn w:val="1"/>
    <w:qFormat/>
    <w:uiPriority w:val="0"/>
    <w:pPr>
      <w:numPr>
        <w:ilvl w:val="2"/>
        <w:numId w:val="21"/>
      </w:numPr>
      <w:spacing w:line="536870612" w:lineRule="auto"/>
    </w:pPr>
    <w:rPr>
      <w:rFonts w:ascii="Times New Roman" w:hAnsi="Times New Roman"/>
    </w:rPr>
  </w:style>
  <w:style w:type="paragraph" w:customStyle="1" w:styleId="175">
    <w:name w:val="图表脚注说明"/>
    <w:basedOn w:val="1"/>
    <w:next w:val="58"/>
    <w:uiPriority w:val="0"/>
    <w:pPr>
      <w:numPr>
        <w:ilvl w:val="0"/>
        <w:numId w:val="25"/>
      </w:numPr>
      <w:adjustRightInd/>
      <w:spacing w:line="240" w:lineRule="auto"/>
    </w:pPr>
    <w:rPr>
      <w:rFonts w:ascii="宋体" w:hAnsi="Times New Roman"/>
      <w:sz w:val="18"/>
      <w:szCs w:val="18"/>
    </w:rPr>
  </w:style>
  <w:style w:type="paragraph" w:customStyle="1" w:styleId="176">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7">
    <w:name w:val="标准文件_索引字母"/>
    <w:next w:val="58"/>
    <w:qFormat/>
    <w:uiPriority w:val="0"/>
    <w:pPr>
      <w:jc w:val="center"/>
    </w:pPr>
    <w:rPr>
      <w:rFonts w:ascii="宋体" w:hAnsi="宋体" w:eastAsia="Times New Roman" w:cs="Times New Roman"/>
      <w:b/>
      <w:kern w:val="2"/>
      <w:sz w:val="21"/>
      <w:lang w:val="en-US" w:eastAsia="zh-CN" w:bidi="ar-SA"/>
    </w:rPr>
  </w:style>
  <w:style w:type="paragraph" w:customStyle="1" w:styleId="178">
    <w:name w:val="标准文件_附录前"/>
    <w:next w:val="58"/>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9">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0">
    <w:name w:val="标准文件_表格"/>
    <w:basedOn w:val="58"/>
    <w:qFormat/>
    <w:uiPriority w:val="0"/>
    <w:pPr>
      <w:ind w:firstLine="0" w:firstLineChars="0"/>
      <w:jc w:val="center"/>
    </w:pPr>
    <w:rPr>
      <w:sz w:val="18"/>
    </w:rPr>
  </w:style>
  <w:style w:type="paragraph" w:customStyle="1" w:styleId="181">
    <w:name w:val="标准文件_注："/>
    <w:next w:val="58"/>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2">
    <w:name w:val="标准文件_注×："/>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3">
    <w:name w:val="标准文件_示例："/>
    <w:next w:val="184"/>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4">
    <w:name w:val="标准文件_示例内容"/>
    <w:basedOn w:val="58"/>
    <w:qFormat/>
    <w:uiPriority w:val="0"/>
    <w:pPr>
      <w:ind w:firstLine="420"/>
    </w:pPr>
    <w:rPr>
      <w:sz w:val="18"/>
    </w:rPr>
  </w:style>
  <w:style w:type="paragraph" w:customStyle="1" w:styleId="185">
    <w:name w:val="标准文件_示例×："/>
    <w:basedOn w:val="1"/>
    <w:next w:val="184"/>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6">
    <w:name w:val="标准文件_段 Char"/>
    <w:link w:val="58"/>
    <w:qFormat/>
    <w:uiPriority w:val="0"/>
    <w:rPr>
      <w:rFonts w:ascii="宋体" w:hAnsi="Times New Roman"/>
      <w:sz w:val="21"/>
    </w:rPr>
  </w:style>
  <w:style w:type="paragraph" w:customStyle="1" w:styleId="187">
    <w:name w:val="标准文件_表格续"/>
    <w:basedOn w:val="58"/>
    <w:next w:val="58"/>
    <w:qFormat/>
    <w:uiPriority w:val="0"/>
    <w:pPr>
      <w:jc w:val="center"/>
    </w:pPr>
    <w:rPr>
      <w:rFonts w:ascii="黑体" w:hAnsi="黑体" w:eastAsia="黑体"/>
    </w:rPr>
  </w:style>
  <w:style w:type="character" w:styleId="188">
    <w:name w:val="Placeholder Text"/>
    <w:basedOn w:val="30"/>
    <w:semiHidden/>
    <w:uiPriority w:val="99"/>
    <w:rPr>
      <w:color w:val="808080"/>
    </w:rPr>
  </w:style>
  <w:style w:type="paragraph" w:customStyle="1" w:styleId="189">
    <w:name w:val="标准文件_二级项2"/>
    <w:basedOn w:val="58"/>
    <w:qFormat/>
    <w:uiPriority w:val="0"/>
    <w:pPr>
      <w:numPr>
        <w:ilvl w:val="1"/>
        <w:numId w:val="21"/>
      </w:numPr>
      <w:ind w:firstLine="0" w:firstLineChars="0"/>
    </w:pPr>
  </w:style>
  <w:style w:type="paragraph" w:customStyle="1" w:styleId="190">
    <w:name w:val="标准文件_三级项2"/>
    <w:basedOn w:val="58"/>
    <w:qFormat/>
    <w:uiPriority w:val="0"/>
    <w:pPr>
      <w:numPr>
        <w:ilvl w:val="0"/>
        <w:numId w:val="30"/>
      </w:numPr>
      <w:spacing w:line="300" w:lineRule="exact"/>
      <w:ind w:firstLineChars="0"/>
    </w:pPr>
    <w:rPr>
      <w:rFonts w:ascii="Times New Roman"/>
    </w:rPr>
  </w:style>
  <w:style w:type="paragraph" w:customStyle="1" w:styleId="191">
    <w:name w:val="标准文件_一级项2"/>
    <w:basedOn w:val="58"/>
    <w:qFormat/>
    <w:uiPriority w:val="0"/>
    <w:pPr>
      <w:numPr>
        <w:ilvl w:val="0"/>
        <w:numId w:val="31"/>
      </w:numPr>
      <w:spacing w:line="300" w:lineRule="exact"/>
      <w:ind w:firstLineChars="0"/>
    </w:pPr>
    <w:rPr>
      <w:rFonts w:ascii="Times New Roman"/>
    </w:rPr>
  </w:style>
  <w:style w:type="paragraph" w:customStyle="1" w:styleId="192">
    <w:name w:val="标准文件_提示"/>
    <w:basedOn w:val="58"/>
    <w:next w:val="58"/>
    <w:qFormat/>
    <w:uiPriority w:val="0"/>
    <w:pPr>
      <w:ind w:firstLine="420"/>
    </w:pPr>
    <w:rPr>
      <w:rFonts w:ascii="黑体" w:eastAsia="黑体"/>
    </w:rPr>
  </w:style>
  <w:style w:type="character" w:customStyle="1" w:styleId="193">
    <w:name w:val="标准文件_来源"/>
    <w:basedOn w:val="30"/>
    <w:qFormat/>
    <w:uiPriority w:val="1"/>
    <w:rPr>
      <w:rFonts w:eastAsia="宋体"/>
      <w:sz w:val="21"/>
    </w:rPr>
  </w:style>
  <w:style w:type="paragraph" w:customStyle="1" w:styleId="194">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5">
    <w:name w:val="其他发布日期"/>
    <w:basedOn w:val="122"/>
    <w:uiPriority w:val="0"/>
    <w:pPr>
      <w:framePr w:w="3997" w:h="471" w:hRule="exact" w:hSpace="0" w:vSpace="181" w:wrap="around" w:vAnchor="page" w:hAnchor="page" w:x="1419" w:y="14097"/>
    </w:pPr>
  </w:style>
  <w:style w:type="paragraph" w:customStyle="1" w:styleId="196">
    <w:name w:val="其他实施日期"/>
    <w:basedOn w:val="156"/>
    <w:uiPriority w:val="0"/>
    <w:pPr>
      <w:framePr w:w="3997" w:h="471" w:hRule="exact" w:vSpace="181" w:wrap="around" w:vAnchor="page" w:hAnchor="page" w:x="7089" w:y="14097"/>
    </w:pPr>
  </w:style>
  <w:style w:type="paragraph" w:customStyle="1" w:styleId="197">
    <w:name w:val="标准文件_文件编号"/>
    <w:basedOn w:val="58"/>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8">
    <w:name w:val="标准文件_替换文件编号"/>
    <w:basedOn w:val="197"/>
    <w:qFormat/>
    <w:uiPriority w:val="0"/>
    <w:pPr>
      <w:spacing w:before="57"/>
    </w:pPr>
    <w:rPr>
      <w:sz w:val="21"/>
    </w:rPr>
  </w:style>
  <w:style w:type="paragraph" w:customStyle="1" w:styleId="199">
    <w:name w:val="标准文件_文件名称"/>
    <w:basedOn w:val="58"/>
    <w:next w:val="58"/>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0">
    <w:name w:val="标准文件_附录图标号"/>
    <w:basedOn w:val="58"/>
    <w:next w:val="58"/>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1">
    <w:name w:val="标准文件_附录表标号"/>
    <w:basedOn w:val="58"/>
    <w:next w:val="58"/>
    <w:qFormat/>
    <w:uiPriority w:val="0"/>
    <w:pPr>
      <w:numPr>
        <w:ilvl w:val="0"/>
        <w:numId w:val="5"/>
      </w:numPr>
      <w:spacing w:line="14" w:lineRule="exact"/>
      <w:ind w:firstLine="0" w:firstLineChars="0"/>
      <w:jc w:val="center"/>
    </w:pPr>
    <w:rPr>
      <w:rFonts w:eastAsia="黑体"/>
      <w:vanish/>
      <w:sz w:val="2"/>
    </w:rPr>
  </w:style>
  <w:style w:type="paragraph" w:customStyle="1" w:styleId="202">
    <w:name w:val="标准文件_引言一级条标题"/>
    <w:basedOn w:val="58"/>
    <w:next w:val="58"/>
    <w:qFormat/>
    <w:uiPriority w:val="0"/>
    <w:pPr>
      <w:numPr>
        <w:ilvl w:val="1"/>
        <w:numId w:val="8"/>
      </w:numPr>
      <w:spacing w:beforeLines="50" w:afterLines="50"/>
      <w:ind w:firstLineChars="0"/>
    </w:pPr>
    <w:rPr>
      <w:rFonts w:ascii="黑体" w:eastAsia="黑体"/>
    </w:rPr>
  </w:style>
  <w:style w:type="paragraph" w:customStyle="1" w:styleId="203">
    <w:name w:val="标准文件_引言二级条标题"/>
    <w:basedOn w:val="58"/>
    <w:next w:val="58"/>
    <w:qFormat/>
    <w:uiPriority w:val="0"/>
    <w:pPr>
      <w:numPr>
        <w:ilvl w:val="2"/>
        <w:numId w:val="8"/>
      </w:numPr>
      <w:spacing w:beforeLines="50" w:afterLines="50"/>
      <w:ind w:firstLineChars="0"/>
    </w:pPr>
    <w:rPr>
      <w:rFonts w:ascii="黑体" w:eastAsia="黑体"/>
    </w:rPr>
  </w:style>
  <w:style w:type="paragraph" w:customStyle="1" w:styleId="204">
    <w:name w:val="标准文件_引言三级条标题"/>
    <w:basedOn w:val="58"/>
    <w:next w:val="58"/>
    <w:qFormat/>
    <w:uiPriority w:val="0"/>
    <w:pPr>
      <w:numPr>
        <w:ilvl w:val="3"/>
        <w:numId w:val="8"/>
      </w:numPr>
      <w:spacing w:beforeLines="50" w:afterLines="50"/>
      <w:ind w:firstLineChars="0"/>
    </w:pPr>
    <w:rPr>
      <w:rFonts w:ascii="黑体" w:eastAsia="黑体"/>
    </w:rPr>
  </w:style>
  <w:style w:type="paragraph" w:customStyle="1" w:styleId="205">
    <w:name w:val="标准文件_引言四级条标题"/>
    <w:basedOn w:val="58"/>
    <w:next w:val="58"/>
    <w:qFormat/>
    <w:uiPriority w:val="0"/>
    <w:pPr>
      <w:numPr>
        <w:ilvl w:val="4"/>
        <w:numId w:val="8"/>
      </w:numPr>
      <w:spacing w:beforeLines="50" w:afterLines="50"/>
      <w:ind w:firstLineChars="0"/>
    </w:pPr>
    <w:rPr>
      <w:rFonts w:ascii="黑体" w:eastAsia="黑体"/>
    </w:rPr>
  </w:style>
  <w:style w:type="paragraph" w:customStyle="1" w:styleId="206">
    <w:name w:val="标准文件_引言五级条标题"/>
    <w:basedOn w:val="58"/>
    <w:next w:val="58"/>
    <w:qFormat/>
    <w:uiPriority w:val="0"/>
    <w:pPr>
      <w:numPr>
        <w:ilvl w:val="5"/>
        <w:numId w:val="8"/>
      </w:numPr>
      <w:spacing w:beforeLines="50" w:afterLines="50"/>
      <w:ind w:firstLineChars="0"/>
    </w:pPr>
    <w:rPr>
      <w:rFonts w:ascii="黑体" w:eastAsia="黑体"/>
    </w:rPr>
  </w:style>
  <w:style w:type="paragraph" w:customStyle="1" w:styleId="207">
    <w:name w:val="标准文件_注后"/>
    <w:basedOn w:val="58"/>
    <w:qFormat/>
    <w:uiPriority w:val="0"/>
    <w:pPr>
      <w:ind w:left="811" w:firstLine="0" w:firstLineChars="0"/>
    </w:pPr>
    <w:rPr>
      <w:sz w:val="18"/>
    </w:rPr>
  </w:style>
  <w:style w:type="paragraph" w:customStyle="1" w:styleId="208">
    <w:name w:val="标准文件_注X后"/>
    <w:basedOn w:val="58"/>
    <w:qFormat/>
    <w:uiPriority w:val="0"/>
    <w:pPr>
      <w:ind w:left="811" w:firstLine="0" w:firstLineChars="0"/>
    </w:pPr>
    <w:rPr>
      <w:sz w:val="18"/>
    </w:rPr>
  </w:style>
  <w:style w:type="paragraph" w:customStyle="1" w:styleId="209">
    <w:name w:val="标准文件_示例后"/>
    <w:basedOn w:val="58"/>
    <w:qFormat/>
    <w:uiPriority w:val="0"/>
    <w:pPr>
      <w:ind w:left="964" w:firstLine="0" w:firstLineChars="0"/>
    </w:pPr>
    <w:rPr>
      <w:sz w:val="18"/>
    </w:rPr>
  </w:style>
  <w:style w:type="paragraph" w:customStyle="1" w:styleId="210">
    <w:name w:val="标准文件_示例X后"/>
    <w:basedOn w:val="58"/>
    <w:link w:val="211"/>
    <w:qFormat/>
    <w:uiPriority w:val="0"/>
    <w:pPr>
      <w:ind w:left="1049" w:firstLine="0" w:firstLineChars="0"/>
    </w:pPr>
    <w:rPr>
      <w:sz w:val="18"/>
    </w:rPr>
  </w:style>
  <w:style w:type="character" w:customStyle="1" w:styleId="211">
    <w:name w:val="标准文件_示例X后 字符"/>
    <w:basedOn w:val="186"/>
    <w:link w:val="210"/>
    <w:uiPriority w:val="0"/>
    <w:rPr>
      <w:rFonts w:ascii="宋体" w:hAnsi="Times New Roman"/>
      <w:sz w:val="18"/>
    </w:rPr>
  </w:style>
  <w:style w:type="paragraph" w:customStyle="1" w:styleId="212">
    <w:name w:val="标准文件_索引项"/>
    <w:basedOn w:val="58"/>
    <w:next w:val="58"/>
    <w:qFormat/>
    <w:uiPriority w:val="0"/>
    <w:pPr>
      <w:tabs>
        <w:tab w:val="right" w:leader="dot" w:pos="9356"/>
      </w:tabs>
      <w:ind w:left="210" w:hanging="210" w:firstLineChars="0"/>
      <w:jc w:val="left"/>
    </w:pPr>
  </w:style>
  <w:style w:type="paragraph" w:customStyle="1" w:styleId="213">
    <w:name w:val="标准文件_附录一级无标题"/>
    <w:basedOn w:val="80"/>
    <w:qFormat/>
    <w:uiPriority w:val="0"/>
    <w:pPr>
      <w:spacing w:beforeLines="0" w:afterLines="0" w:line="276" w:lineRule="auto"/>
      <w:outlineLvl w:val="9"/>
    </w:pPr>
    <w:rPr>
      <w:rFonts w:ascii="宋体" w:eastAsia="宋体"/>
    </w:rPr>
  </w:style>
  <w:style w:type="paragraph" w:customStyle="1" w:styleId="214">
    <w:name w:val="标准文件_附录二级无标题"/>
    <w:basedOn w:val="81"/>
    <w:uiPriority w:val="0"/>
    <w:pPr>
      <w:spacing w:beforeLines="0" w:afterLines="0" w:line="276" w:lineRule="auto"/>
      <w:outlineLvl w:val="9"/>
    </w:pPr>
    <w:rPr>
      <w:rFonts w:ascii="宋体" w:eastAsia="宋体"/>
    </w:rPr>
  </w:style>
  <w:style w:type="paragraph" w:customStyle="1" w:styleId="215">
    <w:name w:val="标准文件_附录三级无标题"/>
    <w:basedOn w:val="83"/>
    <w:qFormat/>
    <w:uiPriority w:val="0"/>
    <w:pPr>
      <w:spacing w:beforeLines="0" w:afterLines="0" w:line="276" w:lineRule="auto"/>
      <w:outlineLvl w:val="9"/>
    </w:pPr>
    <w:rPr>
      <w:rFonts w:ascii="宋体" w:eastAsia="宋体"/>
    </w:rPr>
  </w:style>
  <w:style w:type="paragraph" w:customStyle="1" w:styleId="216">
    <w:name w:val="标准文件_附录四级无标题"/>
    <w:basedOn w:val="84"/>
    <w:qFormat/>
    <w:uiPriority w:val="0"/>
    <w:pPr>
      <w:spacing w:beforeLines="0" w:afterLines="0" w:line="276" w:lineRule="auto"/>
      <w:outlineLvl w:val="9"/>
    </w:pPr>
    <w:rPr>
      <w:rFonts w:ascii="宋体" w:eastAsia="宋体"/>
    </w:rPr>
  </w:style>
  <w:style w:type="paragraph" w:customStyle="1" w:styleId="217">
    <w:name w:val="标准文件_附录五级无标题"/>
    <w:basedOn w:val="86"/>
    <w:qFormat/>
    <w:uiPriority w:val="0"/>
    <w:pPr>
      <w:spacing w:beforeLines="0" w:afterLines="0" w:line="276" w:lineRule="auto"/>
      <w:outlineLvl w:val="9"/>
    </w:pPr>
    <w:rPr>
      <w:rFonts w:ascii="宋体" w:eastAsia="宋体"/>
    </w:rPr>
  </w:style>
  <w:style w:type="paragraph" w:customStyle="1" w:styleId="218">
    <w:name w:val="标准文件_引言一级无标题"/>
    <w:basedOn w:val="202"/>
    <w:next w:val="58"/>
    <w:qFormat/>
    <w:uiPriority w:val="0"/>
    <w:pPr>
      <w:spacing w:beforeLines="0" w:afterLines="0" w:line="276" w:lineRule="auto"/>
    </w:pPr>
    <w:rPr>
      <w:rFonts w:ascii="宋体" w:eastAsia="宋体"/>
    </w:rPr>
  </w:style>
  <w:style w:type="paragraph" w:customStyle="1" w:styleId="219">
    <w:name w:val="标准文件_引言二级无标题"/>
    <w:basedOn w:val="203"/>
    <w:next w:val="58"/>
    <w:qFormat/>
    <w:uiPriority w:val="0"/>
    <w:pPr>
      <w:spacing w:beforeLines="0" w:afterLines="0" w:line="276" w:lineRule="auto"/>
    </w:pPr>
    <w:rPr>
      <w:rFonts w:ascii="宋体" w:eastAsia="宋体"/>
    </w:rPr>
  </w:style>
  <w:style w:type="paragraph" w:customStyle="1" w:styleId="220">
    <w:name w:val="标准文件_引言三级无标题"/>
    <w:basedOn w:val="204"/>
    <w:qFormat/>
    <w:uiPriority w:val="0"/>
    <w:pPr>
      <w:spacing w:beforeLines="0" w:afterLines="0" w:line="276" w:lineRule="auto"/>
    </w:pPr>
    <w:rPr>
      <w:rFonts w:ascii="宋体" w:eastAsia="宋体"/>
    </w:rPr>
  </w:style>
  <w:style w:type="paragraph" w:customStyle="1" w:styleId="221">
    <w:name w:val="标准文件_引言四级无标题"/>
    <w:basedOn w:val="205"/>
    <w:next w:val="58"/>
    <w:qFormat/>
    <w:uiPriority w:val="0"/>
    <w:pPr>
      <w:spacing w:beforeLines="0" w:afterLines="0" w:line="276" w:lineRule="auto"/>
    </w:pPr>
    <w:rPr>
      <w:rFonts w:ascii="宋体" w:eastAsia="宋体"/>
    </w:rPr>
  </w:style>
  <w:style w:type="paragraph" w:customStyle="1" w:styleId="222">
    <w:name w:val="标准文件_引言五级无标题"/>
    <w:basedOn w:val="206"/>
    <w:next w:val="58"/>
    <w:qFormat/>
    <w:uiPriority w:val="0"/>
    <w:pPr>
      <w:spacing w:beforeLines="0" w:afterLines="0" w:line="276" w:lineRule="auto"/>
    </w:pPr>
    <w:rPr>
      <w:rFonts w:ascii="宋体" w:eastAsia="宋体"/>
    </w:rPr>
  </w:style>
  <w:style w:type="paragraph" w:customStyle="1" w:styleId="223">
    <w:name w:val="标准文件_索引标题"/>
    <w:basedOn w:val="65"/>
    <w:next w:val="58"/>
    <w:qFormat/>
    <w:uiPriority w:val="0"/>
    <w:rPr>
      <w:rFonts w:hAnsi="黑体"/>
    </w:rPr>
  </w:style>
  <w:style w:type="paragraph" w:customStyle="1" w:styleId="224">
    <w:name w:val="标准文件_脚注内容"/>
    <w:basedOn w:val="58"/>
    <w:qFormat/>
    <w:uiPriority w:val="0"/>
    <w:pPr>
      <w:ind w:left="400" w:leftChars="200" w:hanging="200" w:hangingChars="200"/>
    </w:pPr>
    <w:rPr>
      <w:sz w:val="15"/>
    </w:rPr>
  </w:style>
  <w:style w:type="paragraph" w:customStyle="1" w:styleId="225">
    <w:name w:val="标准文件_术语条一"/>
    <w:basedOn w:val="164"/>
    <w:next w:val="58"/>
    <w:qFormat/>
    <w:uiPriority w:val="0"/>
  </w:style>
  <w:style w:type="paragraph" w:customStyle="1" w:styleId="226">
    <w:name w:val="标准文件_术语条二"/>
    <w:basedOn w:val="167"/>
    <w:next w:val="58"/>
    <w:qFormat/>
    <w:uiPriority w:val="0"/>
  </w:style>
  <w:style w:type="paragraph" w:customStyle="1" w:styleId="227">
    <w:name w:val="标准文件_术语条三"/>
    <w:basedOn w:val="166"/>
    <w:next w:val="58"/>
    <w:qFormat/>
    <w:uiPriority w:val="0"/>
  </w:style>
  <w:style w:type="paragraph" w:customStyle="1" w:styleId="228">
    <w:name w:val="标准文件_术语条四"/>
    <w:basedOn w:val="169"/>
    <w:next w:val="58"/>
    <w:qFormat/>
    <w:uiPriority w:val="0"/>
  </w:style>
  <w:style w:type="paragraph" w:customStyle="1" w:styleId="229">
    <w:name w:val="标准文件_术语条五"/>
    <w:basedOn w:val="165"/>
    <w:next w:val="58"/>
    <w:qFormat/>
    <w:uiPriority w:val="0"/>
  </w:style>
  <w:style w:type="paragraph" w:customStyle="1" w:styleId="230">
    <w:name w:val="Defaul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1">
    <w:name w:val="发布"/>
    <w:basedOn w:val="30"/>
    <w:uiPriority w:val="0"/>
    <w:rPr>
      <w:rFonts w:ascii="黑体" w:eastAsia="黑体"/>
      <w:spacing w:val="85"/>
      <w:w w:val="100"/>
      <w:position w:val="3"/>
      <w:sz w:val="28"/>
      <w:szCs w:val="28"/>
    </w:rPr>
  </w:style>
  <w:style w:type="character" w:customStyle="1" w:styleId="232">
    <w:name w:val="文档结构图 字符"/>
    <w:basedOn w:val="30"/>
    <w:link w:val="14"/>
    <w:semiHidden/>
    <w:uiPriority w:val="99"/>
    <w:rPr>
      <w:rFonts w:ascii="宋体"/>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glossaryDocument" Target="glossary/document.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4.jpe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lyti\Library\Containers\com.kingsoft.wpsoffice.mac\Data\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0003D6D8C73487FBA655384287B0EAD"/>
        <w:style w:val=""/>
        <w:category>
          <w:name w:val="常规"/>
          <w:gallery w:val="placeholder"/>
        </w:category>
        <w:types>
          <w:type w:val="bbPlcHdr"/>
        </w:types>
        <w:behaviors>
          <w:behavior w:val="content"/>
        </w:behaviors>
        <w:description w:val=""/>
        <w:guid w:val="{55258DCF-138B-4D17-B881-62C42466104E}"/>
      </w:docPartPr>
      <w:docPartBody>
        <w:p w14:paraId="280DB045">
          <w:pPr>
            <w:pStyle w:val="5"/>
          </w:pPr>
          <w:r>
            <w:rPr>
              <w:rStyle w:val="4"/>
              <w:rFonts w:hint="eastAsia"/>
            </w:rPr>
            <w:t>单击或点击此处输入文字。</w:t>
          </w:r>
        </w:p>
      </w:docPartBody>
    </w:docPart>
    <w:docPart>
      <w:docPartPr>
        <w:name w:val="4BF86846C2AD48DFB875BF1978B186B9"/>
        <w:style w:val=""/>
        <w:category>
          <w:name w:val="常规"/>
          <w:gallery w:val="placeholder"/>
        </w:category>
        <w:types>
          <w:type w:val="bbPlcHdr"/>
        </w:types>
        <w:behaviors>
          <w:behavior w:val="content"/>
        </w:behaviors>
        <w:description w:val=""/>
        <w:guid w:val="{8F246636-29D4-4C28-BAB3-023E2FADCF89}"/>
      </w:docPartPr>
      <w:docPartBody>
        <w:p w14:paraId="75A4923E">
          <w:pPr>
            <w:pStyle w:val="6"/>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675"/>
    <w:rsid w:val="001E48A9"/>
    <w:rsid w:val="004F510D"/>
    <w:rsid w:val="00642FF5"/>
    <w:rsid w:val="007E4679"/>
    <w:rsid w:val="00826BF4"/>
    <w:rsid w:val="0086157E"/>
    <w:rsid w:val="008C7675"/>
    <w:rsid w:val="00B05802"/>
    <w:rsid w:val="00B637F0"/>
    <w:rsid w:val="00C97BA5"/>
    <w:rsid w:val="00D5544A"/>
    <w:rsid w:val="00DE7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uiPriority w:val="99"/>
    <w:rPr>
      <w:color w:val="808080"/>
    </w:rPr>
  </w:style>
  <w:style w:type="paragraph" w:customStyle="1" w:styleId="5">
    <w:name w:val="C0003D6D8C73487FBA655384287B0EAD"/>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4BF86846C2AD48DFB875BF1978B186B9"/>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E0F809-F1B0-47A2-BF3F-77BC97C7211C}">
  <ds:schemaRefs/>
</ds:datastoreItem>
</file>

<file path=docProps/app.xml><?xml version="1.0" encoding="utf-8"?>
<Properties xmlns="http://schemas.openxmlformats.org/officeDocument/2006/extended-properties" xmlns:vt="http://schemas.openxmlformats.org/officeDocument/2006/docPropsVTypes">
  <Template>C:\Program%20Files%20(x86)\StandardEditor\template\团体标准.dotx</Template>
  <Company>PCMI</Company>
  <Pages>15</Pages>
  <Words>9762</Words>
  <Characters>12457</Characters>
  <Lines>111</Lines>
  <Paragraphs>31</Paragraphs>
  <TotalTime>13</TotalTime>
  <ScaleCrop>false</ScaleCrop>
  <LinksUpToDate>false</LinksUpToDate>
  <CharactersWithSpaces>13060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2026-08-18T23:17:00Z</dcterms:created>
  <dc:creator>Microsoft</dc:creator>
  <dc:description>&lt;config cover="true" show_menu="true" version="1.0.0" doctype="SDKXY"&gt;_x000d_
&lt;/config&gt;</dc:description>
  <cp:lastModifiedBy>小蘑菇一朵</cp:lastModifiedBy>
  <cp:lastPrinted>2021-02-03T16:22:00Z</cp:lastPrinted>
  <dcterms:modified xsi:type="dcterms:W3CDTF">2026-10-16T03:15:10Z</dcterms:modified>
  <dc:title>团体标准</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2052-12.1.0.28802</vt:lpwstr>
  </property>
  <property fmtid="{D5CDD505-2E9C-101B-9397-08002B2CF9AE}" pid="15" name="ICV">
    <vt:lpwstr>D2DEDC0C8261B053ECF8CE6A33B3B4F6_42</vt:lpwstr>
  </property>
  <property fmtid="{D5CDD505-2E9C-101B-9397-08002B2CF9AE}" pid="16" name="KSOTemplateDocerSaveRecord">
    <vt:lpwstr>eyJoZGlkIjoiN2M0OGEzOTQ1YjM1NTAyMzg1MDUzMTI4NDg1MWZhYjYiLCJ1c2VySWQiOiIxNzI0MDc3In0=</vt:lpwstr>
  </property>
</Properties>
</file>